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Cambria" w:hAnsi="Cambria"/>
          <w:b/>
          <w:bCs/>
          <w:sz w:val="24"/>
          <w:szCs w:val="24"/>
        </w:rPr>
      </w:pPr>
      <w:r>
        <w:rPr>
          <w:rFonts w:ascii="Cambria" w:hAnsi="Cambria"/>
          <w:b/>
          <w:bCs/>
          <w:sz w:val="24"/>
          <w:szCs w:val="24"/>
        </w:rPr>
        <w:t>TERMO DE EDITAL</w:t>
      </w:r>
    </w:p>
    <w:p>
      <w:pPr>
        <w:jc w:val="center"/>
        <w:rPr>
          <w:rFonts w:ascii="Cambria" w:hAnsi="Cambria"/>
          <w:b/>
          <w:bCs/>
          <w:sz w:val="24"/>
          <w:szCs w:val="24"/>
        </w:rPr>
      </w:pPr>
      <w:r>
        <w:rPr>
          <w:rFonts w:ascii="Cambria" w:hAnsi="Cambria"/>
          <w:b/>
          <w:bCs/>
          <w:sz w:val="24"/>
          <w:szCs w:val="24"/>
        </w:rPr>
        <w:t>PREGÃO ELETRÔNICO Nº 90009/2026 - PE</w:t>
      </w:r>
    </w:p>
    <w:tbl>
      <w:tblPr>
        <w:tblStyle w:val="Tabelacomgrade"/>
        <w:tblW w:w="9915"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915"/>
      </w:tblGrid>
      <w:tr>
        <w:trPr>
          <w:trHeight w:val="216"/>
        </w:trPr>
        <w:tc>
          <w:tcPr>
            <w:tcW w:w="9915" w:type="dxa"/>
            <w:shd w:val="clear" w:color="auto" w:fill="F2F2F2" w:themeFill="background1" w:themeFillShade="F2"/>
            <w:vAlign w:val="center"/>
          </w:tcPr>
          <w:p>
            <w:pPr>
              <w:jc w:val="center"/>
              <w:rPr>
                <w:rFonts w:ascii="Cambria" w:hAnsi="Cambria"/>
                <w:b/>
                <w:sz w:val="19"/>
                <w:szCs w:val="19"/>
              </w:rPr>
            </w:pPr>
            <w:r>
              <w:rPr>
                <w:rFonts w:ascii="Cambria" w:hAnsi="Cambria"/>
                <w:b/>
                <w:color w:val="000000" w:themeColor="text1"/>
                <w:sz w:val="19"/>
                <w:szCs w:val="19"/>
              </w:rPr>
              <w:t>PARTE ESPECÍFICA (QUADRO DE RESUMO)</w:t>
            </w:r>
          </w:p>
        </w:tc>
      </w:tr>
    </w:tbl>
    <w:p>
      <w:pPr>
        <w:ind w:left="68"/>
        <w:jc w:val="center"/>
        <w:rPr>
          <w:rFonts w:ascii="Cambria" w:hAnsi="Cambria"/>
          <w:bCs/>
          <w:sz w:val="19"/>
          <w:szCs w:val="19"/>
        </w:rPr>
      </w:pPr>
    </w:p>
    <w:tbl>
      <w:tblPr>
        <w:tblStyle w:val="Tabelacomgrade"/>
        <w:tblW w:w="5475"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596"/>
        <w:gridCol w:w="1314"/>
        <w:gridCol w:w="1617"/>
        <w:gridCol w:w="2564"/>
        <w:gridCol w:w="2823"/>
      </w:tblGrid>
      <w:tr>
        <w:trPr>
          <w:trHeight w:val="228"/>
        </w:trPr>
        <w:tc>
          <w:tcPr>
            <w:tcW w:w="872" w:type="pct"/>
            <w:shd w:val="clear" w:color="auto" w:fill="F2F2F2" w:themeFill="background1" w:themeFillShade="F2"/>
            <w:vAlign w:val="center"/>
          </w:tcPr>
          <w:p>
            <w:pPr>
              <w:jc w:val="center"/>
              <w:rPr>
                <w:rFonts w:ascii="Cambria" w:hAnsi="Cambria"/>
                <w:b/>
                <w:sz w:val="19"/>
                <w:szCs w:val="19"/>
              </w:rPr>
            </w:pPr>
            <w:r>
              <w:rPr>
                <w:rFonts w:ascii="Cambria" w:hAnsi="Cambria"/>
                <w:b/>
                <w:sz w:val="19"/>
                <w:szCs w:val="19"/>
              </w:rPr>
              <w:t>1.MODALIDADE</w:t>
            </w:r>
          </w:p>
        </w:tc>
        <w:tc>
          <w:tcPr>
            <w:tcW w:w="710" w:type="pct"/>
            <w:shd w:val="clear" w:color="auto" w:fill="F2F2F2" w:themeFill="background1" w:themeFillShade="F2"/>
            <w:vAlign w:val="center"/>
          </w:tcPr>
          <w:p>
            <w:pPr>
              <w:jc w:val="center"/>
              <w:rPr>
                <w:rFonts w:ascii="Cambria" w:hAnsi="Cambria"/>
                <w:b/>
                <w:sz w:val="19"/>
                <w:szCs w:val="19"/>
              </w:rPr>
            </w:pPr>
            <w:r>
              <w:rPr>
                <w:rFonts w:ascii="Cambria" w:hAnsi="Cambria"/>
                <w:b/>
                <w:sz w:val="19"/>
                <w:szCs w:val="19"/>
              </w:rPr>
              <w:t>2.FORMATO</w:t>
            </w:r>
          </w:p>
        </w:tc>
        <w:tc>
          <w:tcPr>
            <w:tcW w:w="607" w:type="pct"/>
            <w:shd w:val="clear" w:color="auto" w:fill="F2F2F2" w:themeFill="background1" w:themeFillShade="F2"/>
            <w:vAlign w:val="center"/>
          </w:tcPr>
          <w:p>
            <w:pPr>
              <w:jc w:val="center"/>
              <w:rPr>
                <w:rFonts w:ascii="Cambria" w:hAnsi="Cambria"/>
                <w:b/>
                <w:sz w:val="19"/>
                <w:szCs w:val="19"/>
              </w:rPr>
            </w:pPr>
            <w:r>
              <w:rPr>
                <w:rFonts w:ascii="Cambria" w:hAnsi="Cambria"/>
                <w:b/>
                <w:sz w:val="19"/>
                <w:szCs w:val="19"/>
              </w:rPr>
              <w:t>3.Nº DO PROCESSO</w:t>
            </w:r>
          </w:p>
        </w:tc>
        <w:tc>
          <w:tcPr>
            <w:tcW w:w="1293" w:type="pct"/>
            <w:shd w:val="clear" w:color="auto" w:fill="F2F2F2" w:themeFill="background1" w:themeFillShade="F2"/>
            <w:vAlign w:val="center"/>
          </w:tcPr>
          <w:p>
            <w:pPr>
              <w:jc w:val="center"/>
              <w:rPr>
                <w:rFonts w:ascii="Cambria" w:hAnsi="Cambria"/>
                <w:b/>
                <w:sz w:val="19"/>
                <w:szCs w:val="19"/>
              </w:rPr>
            </w:pPr>
            <w:r>
              <w:rPr>
                <w:rFonts w:ascii="Cambria" w:hAnsi="Cambria"/>
                <w:b/>
                <w:bCs/>
                <w:sz w:val="19"/>
                <w:szCs w:val="19"/>
              </w:rPr>
              <w:t>4.ENDEREÇO/LOCAL DA DISPUTA:</w:t>
            </w:r>
          </w:p>
        </w:tc>
        <w:tc>
          <w:tcPr>
            <w:tcW w:w="1518" w:type="pct"/>
            <w:shd w:val="clear" w:color="auto" w:fill="F2F2F2" w:themeFill="background1" w:themeFillShade="F2"/>
            <w:vAlign w:val="center"/>
          </w:tcPr>
          <w:p>
            <w:pPr>
              <w:jc w:val="center"/>
              <w:rPr>
                <w:rFonts w:ascii="Cambria" w:hAnsi="Cambria"/>
                <w:b/>
                <w:sz w:val="19"/>
                <w:szCs w:val="19"/>
              </w:rPr>
            </w:pPr>
            <w:r>
              <w:rPr>
                <w:rFonts w:ascii="Cambria" w:hAnsi="Cambria"/>
                <w:b/>
                <w:bCs/>
                <w:sz w:val="19"/>
                <w:szCs w:val="19"/>
              </w:rPr>
              <w:t>5.NÚMERO A PLATAFORMA</w:t>
            </w:r>
          </w:p>
        </w:tc>
      </w:tr>
      <w:tr>
        <w:trPr>
          <w:trHeight w:val="525"/>
        </w:trPr>
        <w:tc>
          <w:tcPr>
            <w:tcW w:w="872" w:type="pct"/>
            <w:vAlign w:val="center"/>
          </w:tcPr>
          <w:p>
            <w:pPr>
              <w:jc w:val="center"/>
              <w:rPr>
                <w:rFonts w:ascii="Cambria" w:hAnsi="Cambria"/>
                <w:sz w:val="19"/>
                <w:szCs w:val="19"/>
              </w:rPr>
            </w:pPr>
            <w:r>
              <w:rPr>
                <w:rFonts w:ascii="Cambria" w:hAnsi="Cambria"/>
                <w:sz w:val="19"/>
                <w:szCs w:val="19"/>
              </w:rPr>
              <w:t>PREGÃO</w:t>
            </w:r>
          </w:p>
        </w:tc>
        <w:tc>
          <w:tcPr>
            <w:tcW w:w="710" w:type="pct"/>
            <w:vAlign w:val="center"/>
          </w:tcPr>
          <w:p>
            <w:pPr>
              <w:jc w:val="center"/>
              <w:rPr>
                <w:rFonts w:ascii="Cambria" w:hAnsi="Cambria"/>
                <w:color w:val="000000" w:themeColor="text1"/>
                <w:sz w:val="19"/>
                <w:szCs w:val="19"/>
              </w:rPr>
            </w:pPr>
            <w:r>
              <w:rPr>
                <w:rFonts w:ascii="Cambria" w:hAnsi="Cambria"/>
                <w:sz w:val="19"/>
                <w:szCs w:val="19"/>
              </w:rPr>
              <w:t>ELETRÔNICO</w:t>
            </w:r>
          </w:p>
        </w:tc>
        <w:tc>
          <w:tcPr>
            <w:tcW w:w="607" w:type="pct"/>
            <w:vAlign w:val="center"/>
          </w:tcPr>
          <w:p>
            <w:pPr>
              <w:jc w:val="center"/>
              <w:rPr>
                <w:rFonts w:ascii="Cambria" w:hAnsi="Cambria"/>
                <w:sz w:val="19"/>
                <w:szCs w:val="19"/>
              </w:rPr>
            </w:pPr>
            <w:r>
              <w:rPr>
                <w:rFonts w:ascii="Cambria" w:hAnsi="Cambria"/>
                <w:b/>
                <w:bCs/>
                <w:sz w:val="24"/>
                <w:szCs w:val="24"/>
              </w:rPr>
              <w:t>90009/2026 - PE</w:t>
            </w:r>
          </w:p>
        </w:tc>
        <w:tc>
          <w:tcPr>
            <w:tcW w:w="1293" w:type="pct"/>
            <w:vAlign w:val="center"/>
          </w:tcPr>
          <w:p>
            <w:pPr>
              <w:jc w:val="center"/>
              <w:rPr>
                <w:rFonts w:ascii="Cambria" w:hAnsi="Cambria"/>
                <w:sz w:val="24"/>
                <w:szCs w:val="24"/>
              </w:rPr>
            </w:pPr>
            <w:r>
              <w:rPr>
                <w:rFonts w:ascii="Cambria" w:hAnsi="Cambria"/>
                <w:sz w:val="24"/>
                <w:szCs w:val="24"/>
              </w:rPr>
              <w:t>COMPRASGOV</w:t>
            </w:r>
          </w:p>
          <w:p>
            <w:pPr>
              <w:jc w:val="center"/>
              <w:rPr>
                <w:rFonts w:ascii="Cambria" w:hAnsi="Cambria"/>
                <w:bCs/>
                <w:sz w:val="19"/>
                <w:szCs w:val="19"/>
              </w:rPr>
            </w:pPr>
            <w:r>
              <w:rPr>
                <w:rFonts w:ascii="Cambria" w:hAnsi="Cambria"/>
                <w:sz w:val="24"/>
                <w:szCs w:val="24"/>
              </w:rPr>
              <w:t>(</w:t>
            </w:r>
            <w:r>
              <w:rPr>
                <w:rFonts w:ascii="Cambria" w:hAnsi="Cambria"/>
              </w:rPr>
              <w:t>WWW.COMPRAS.GOV.BR</w:t>
            </w:r>
            <w:r>
              <w:rPr>
                <w:rFonts w:ascii="Cambria" w:hAnsi="Cambria"/>
                <w:sz w:val="24"/>
                <w:szCs w:val="24"/>
              </w:rPr>
              <w:t>)</w:t>
            </w:r>
          </w:p>
        </w:tc>
        <w:tc>
          <w:tcPr>
            <w:tcW w:w="1518" w:type="pct"/>
            <w:vAlign w:val="center"/>
          </w:tcPr>
          <w:p>
            <w:pPr>
              <w:jc w:val="center"/>
              <w:rPr>
                <w:rFonts w:ascii="Cambria" w:hAnsi="Cambria"/>
                <w:sz w:val="19"/>
                <w:szCs w:val="19"/>
              </w:rPr>
            </w:pPr>
            <w:r>
              <w:rPr>
                <w:rFonts w:ascii="Cambria" w:hAnsi="Cambria"/>
                <w:b/>
                <w:bCs/>
                <w:sz w:val="24"/>
                <w:szCs w:val="24"/>
              </w:rPr>
              <w:t>90009/2026 - PE</w:t>
            </w:r>
          </w:p>
        </w:tc>
      </w:tr>
    </w:tbl>
    <w:p>
      <w:pPr>
        <w:ind w:left="68"/>
        <w:jc w:val="center"/>
        <w:rPr>
          <w:rFonts w:ascii="Cambria" w:hAnsi="Cambria"/>
          <w:bCs/>
          <w:sz w:val="19"/>
          <w:szCs w:val="19"/>
        </w:rPr>
      </w:pPr>
    </w:p>
    <w:tbl>
      <w:tblPr>
        <w:tblStyle w:val="Tabelacomgrade"/>
        <w:tblW w:w="5475"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9914"/>
      </w:tblGrid>
      <w:tr>
        <w:trPr>
          <w:trHeight w:val="315"/>
        </w:trPr>
        <w:tc>
          <w:tcPr>
            <w:tcW w:w="5000" w:type="pct"/>
            <w:shd w:val="clear" w:color="auto" w:fill="F2F2F2" w:themeFill="background1" w:themeFillShade="F2"/>
            <w:vAlign w:val="center"/>
          </w:tcPr>
          <w:p>
            <w:pPr>
              <w:rPr>
                <w:rFonts w:ascii="Cambria" w:hAnsi="Cambria"/>
                <w:b/>
                <w:sz w:val="19"/>
                <w:szCs w:val="19"/>
              </w:rPr>
            </w:pPr>
            <w:r>
              <w:rPr>
                <w:rFonts w:ascii="Cambria" w:hAnsi="Cambria"/>
                <w:b/>
                <w:sz w:val="19"/>
                <w:szCs w:val="19"/>
              </w:rPr>
              <w:t>6.OBJETO:</w:t>
            </w:r>
          </w:p>
        </w:tc>
      </w:tr>
      <w:tr>
        <w:trPr>
          <w:trHeight w:val="829"/>
        </w:trPr>
        <w:tc>
          <w:tcPr>
            <w:tcW w:w="5000" w:type="pct"/>
            <w:vAlign w:val="center"/>
          </w:tcPr>
          <w:p>
            <w:pPr>
              <w:jc w:val="both"/>
              <w:rPr>
                <w:rFonts w:ascii="Cambria" w:hAnsi="Cambria"/>
                <w:b/>
                <w:bCs/>
                <w:sz w:val="19"/>
                <w:szCs w:val="19"/>
              </w:rPr>
            </w:pPr>
            <w:r>
              <w:rPr>
                <w:rFonts w:ascii="Cambria" w:hAnsi="Cambria"/>
                <w:b/>
                <w:bCs/>
                <w:sz w:val="19"/>
                <w:szCs w:val="19"/>
              </w:rPr>
              <w:t>LOCAÇÃO DE VEÍCULOS DESTINADOS AO ATENDIMENTO DAS NECESSIDADES DAS DIVERSAS SECRETARIAS DO MUNICÍPIO DE MIRAÍMA/CE</w:t>
            </w:r>
          </w:p>
        </w:tc>
      </w:tr>
    </w:tbl>
    <w:p>
      <w:pPr>
        <w:ind w:left="68"/>
        <w:jc w:val="center"/>
        <w:rPr>
          <w:rFonts w:ascii="Cambria" w:hAnsi="Cambria"/>
          <w:bCs/>
          <w:sz w:val="19"/>
          <w:szCs w:val="19"/>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985"/>
        <w:gridCol w:w="1984"/>
        <w:gridCol w:w="2126"/>
        <w:gridCol w:w="1418"/>
      </w:tblGrid>
      <w:tr>
        <w:trPr>
          <w:trHeight w:val="291"/>
        </w:trPr>
        <w:tc>
          <w:tcPr>
            <w:tcW w:w="2518" w:type="dxa"/>
            <w:shd w:val="clear" w:color="auto" w:fill="F2F2F2" w:themeFill="background1" w:themeFillShade="F2"/>
            <w:vAlign w:val="center"/>
          </w:tcPr>
          <w:p>
            <w:pPr>
              <w:jc w:val="center"/>
              <w:rPr>
                <w:rFonts w:ascii="Cambria" w:hAnsi="Cambria"/>
                <w:b/>
                <w:sz w:val="19"/>
                <w:szCs w:val="19"/>
              </w:rPr>
            </w:pPr>
            <w:r>
              <w:rPr>
                <w:rFonts w:ascii="Cambria" w:hAnsi="Cambria"/>
                <w:b/>
                <w:sz w:val="19"/>
                <w:szCs w:val="19"/>
              </w:rPr>
              <w:t>7.DATA DA ABERTURA:</w:t>
            </w:r>
          </w:p>
        </w:tc>
        <w:tc>
          <w:tcPr>
            <w:tcW w:w="1985" w:type="dxa"/>
            <w:shd w:val="clear" w:color="auto" w:fill="F2F2F2" w:themeFill="background1" w:themeFillShade="F2"/>
            <w:vAlign w:val="center"/>
          </w:tcPr>
          <w:p>
            <w:pPr>
              <w:jc w:val="center"/>
              <w:rPr>
                <w:rFonts w:ascii="Cambria" w:hAnsi="Cambria"/>
                <w:b/>
                <w:sz w:val="19"/>
                <w:szCs w:val="19"/>
              </w:rPr>
            </w:pPr>
            <w:r>
              <w:rPr>
                <w:rFonts w:ascii="Cambria" w:hAnsi="Cambria"/>
                <w:b/>
                <w:sz w:val="19"/>
                <w:szCs w:val="19"/>
              </w:rPr>
              <w:t>8.HORA DA ABERTURA</w:t>
            </w:r>
          </w:p>
        </w:tc>
        <w:tc>
          <w:tcPr>
            <w:tcW w:w="1984" w:type="dxa"/>
            <w:shd w:val="clear" w:color="auto" w:fill="F2F2F2" w:themeFill="background1" w:themeFillShade="F2"/>
            <w:vAlign w:val="center"/>
          </w:tcPr>
          <w:p>
            <w:pPr>
              <w:jc w:val="center"/>
              <w:rPr>
                <w:rFonts w:ascii="Cambria" w:hAnsi="Cambria"/>
                <w:b/>
                <w:sz w:val="19"/>
                <w:szCs w:val="19"/>
              </w:rPr>
            </w:pPr>
            <w:r>
              <w:rPr>
                <w:rFonts w:ascii="Cambria" w:hAnsi="Cambria"/>
                <w:b/>
                <w:bCs/>
                <w:sz w:val="19"/>
                <w:szCs w:val="19"/>
              </w:rPr>
              <w:t>9.TIPO:</w:t>
            </w:r>
          </w:p>
        </w:tc>
        <w:tc>
          <w:tcPr>
            <w:tcW w:w="2126" w:type="dxa"/>
            <w:shd w:val="clear" w:color="auto" w:fill="F2F2F2" w:themeFill="background1" w:themeFillShade="F2"/>
            <w:vAlign w:val="center"/>
          </w:tcPr>
          <w:p>
            <w:pPr>
              <w:jc w:val="center"/>
              <w:rPr>
                <w:rFonts w:ascii="Cambria" w:hAnsi="Cambria"/>
                <w:b/>
                <w:sz w:val="19"/>
                <w:szCs w:val="19"/>
              </w:rPr>
            </w:pPr>
            <w:r>
              <w:rPr>
                <w:rFonts w:ascii="Cambria" w:hAnsi="Cambria"/>
                <w:b/>
                <w:bCs/>
                <w:sz w:val="19"/>
                <w:szCs w:val="19"/>
              </w:rPr>
              <w:t>10.CRITÉRIO DE JULGAMENTO:</w:t>
            </w:r>
          </w:p>
        </w:tc>
        <w:tc>
          <w:tcPr>
            <w:tcW w:w="1418" w:type="dxa"/>
            <w:shd w:val="clear" w:color="auto" w:fill="F2F2F2" w:themeFill="background1" w:themeFillShade="F2"/>
            <w:vAlign w:val="center"/>
          </w:tcPr>
          <w:p>
            <w:pPr>
              <w:jc w:val="center"/>
              <w:rPr>
                <w:rFonts w:ascii="Cambria" w:hAnsi="Cambria"/>
                <w:b/>
                <w:bCs/>
                <w:sz w:val="19"/>
                <w:szCs w:val="19"/>
              </w:rPr>
            </w:pPr>
            <w:r>
              <w:rPr>
                <w:rFonts w:ascii="Cambria" w:hAnsi="Cambria"/>
                <w:b/>
                <w:bCs/>
                <w:sz w:val="19"/>
                <w:szCs w:val="19"/>
              </w:rPr>
              <w:t>11.MODO DE DISPUTA</w:t>
            </w:r>
          </w:p>
        </w:tc>
      </w:tr>
      <w:tr>
        <w:trPr>
          <w:trHeight w:val="291"/>
        </w:trPr>
        <w:tc>
          <w:tcPr>
            <w:tcW w:w="2518" w:type="dxa"/>
            <w:vAlign w:val="center"/>
          </w:tcPr>
          <w:p>
            <w:pPr>
              <w:jc w:val="center"/>
              <w:rPr>
                <w:rFonts w:ascii="Cambria" w:hAnsi="Cambria"/>
                <w:b/>
                <w:sz w:val="19"/>
                <w:szCs w:val="19"/>
              </w:rPr>
            </w:pPr>
            <w:r>
              <w:rPr>
                <w:rFonts w:ascii="Cambria" w:hAnsi="Cambria"/>
                <w:bCs/>
                <w:color w:val="000000"/>
                <w:sz w:val="19"/>
                <w:szCs w:val="19"/>
              </w:rPr>
              <w:t>2</w:t>
            </w:r>
            <w:r>
              <w:rPr>
                <w:rFonts w:ascii="Cambria" w:hAnsi="Cambria"/>
                <w:bCs/>
                <w:color w:val="000000"/>
                <w:sz w:val="19"/>
                <w:szCs w:val="19"/>
              </w:rPr>
              <w:t>5</w:t>
            </w:r>
            <w:bookmarkStart w:id="0" w:name="_GoBack"/>
            <w:bookmarkEnd w:id="0"/>
            <w:r>
              <w:rPr>
                <w:rFonts w:ascii="Cambria" w:hAnsi="Cambria"/>
                <w:bCs/>
                <w:color w:val="000000"/>
                <w:sz w:val="19"/>
                <w:szCs w:val="19"/>
              </w:rPr>
              <w:t xml:space="preserve"> de Junho de 2026</w:t>
            </w:r>
          </w:p>
        </w:tc>
        <w:tc>
          <w:tcPr>
            <w:tcW w:w="1985" w:type="dxa"/>
            <w:vAlign w:val="center"/>
          </w:tcPr>
          <w:p>
            <w:pPr>
              <w:jc w:val="center"/>
              <w:rPr>
                <w:rFonts w:ascii="Cambria" w:hAnsi="Cambria"/>
                <w:b/>
                <w:sz w:val="19"/>
                <w:szCs w:val="19"/>
              </w:rPr>
            </w:pPr>
            <w:r>
              <w:rPr>
                <w:rFonts w:ascii="Cambria" w:hAnsi="Cambria"/>
                <w:sz w:val="19"/>
                <w:szCs w:val="19"/>
              </w:rPr>
              <w:t>09H00m</w:t>
            </w:r>
          </w:p>
        </w:tc>
        <w:tc>
          <w:tcPr>
            <w:tcW w:w="1984" w:type="dxa"/>
            <w:vAlign w:val="center"/>
          </w:tcPr>
          <w:p>
            <w:pPr>
              <w:jc w:val="center"/>
              <w:rPr>
                <w:rFonts w:ascii="Cambria" w:hAnsi="Cambria"/>
                <w:b/>
                <w:bCs/>
                <w:sz w:val="19"/>
                <w:szCs w:val="19"/>
              </w:rPr>
            </w:pPr>
            <w:r>
              <w:rPr>
                <w:rFonts w:ascii="Cambria" w:hAnsi="Cambria"/>
                <w:sz w:val="19"/>
                <w:szCs w:val="19"/>
              </w:rPr>
              <w:t>MENOR PREÇO</w:t>
            </w:r>
          </w:p>
        </w:tc>
        <w:tc>
          <w:tcPr>
            <w:tcW w:w="2126" w:type="dxa"/>
            <w:vAlign w:val="center"/>
          </w:tcPr>
          <w:p>
            <w:pPr>
              <w:jc w:val="center"/>
              <w:rPr>
                <w:rFonts w:ascii="Cambria" w:hAnsi="Cambria"/>
                <w:b/>
                <w:bCs/>
                <w:sz w:val="19"/>
                <w:szCs w:val="19"/>
              </w:rPr>
            </w:pPr>
            <w:r>
              <w:rPr>
                <w:rFonts w:ascii="Cambria" w:hAnsi="Cambria"/>
                <w:sz w:val="19"/>
                <w:szCs w:val="19"/>
              </w:rPr>
              <w:t>Por Grupo</w:t>
            </w:r>
          </w:p>
        </w:tc>
        <w:tc>
          <w:tcPr>
            <w:tcW w:w="1418" w:type="dxa"/>
            <w:vAlign w:val="center"/>
          </w:tcPr>
          <w:p>
            <w:pPr>
              <w:jc w:val="center"/>
              <w:rPr>
                <w:rFonts w:ascii="Cambria" w:hAnsi="Cambria"/>
                <w:b/>
                <w:bCs/>
                <w:sz w:val="19"/>
                <w:szCs w:val="19"/>
              </w:rPr>
            </w:pPr>
            <w:r>
              <w:rPr>
                <w:rFonts w:ascii="Cambria" w:hAnsi="Cambria"/>
                <w:sz w:val="19"/>
                <w:szCs w:val="19"/>
              </w:rPr>
              <w:t>ABERTO</w:t>
            </w:r>
          </w:p>
        </w:tc>
      </w:tr>
      <w:tr>
        <w:trPr>
          <w:trHeight w:val="291"/>
        </w:trPr>
        <w:tc>
          <w:tcPr>
            <w:tcW w:w="10031" w:type="dxa"/>
            <w:gridSpan w:val="5"/>
            <w:vAlign w:val="center"/>
          </w:tcPr>
          <w:p>
            <w:pPr>
              <w:rPr>
                <w:rFonts w:ascii="Cambria" w:hAnsi="Cambria"/>
                <w:sz w:val="19"/>
                <w:szCs w:val="19"/>
              </w:rPr>
            </w:pPr>
            <w:r>
              <w:rPr>
                <w:rFonts w:ascii="Cambria" w:hAnsi="Cambria"/>
                <w:sz w:val="19"/>
                <w:szCs w:val="19"/>
              </w:rPr>
              <w:t>Referência de Tempo: para todas as referências de tempo utilizadas pelo sistema será observado o horário de Brasília/df.</w:t>
            </w:r>
          </w:p>
        </w:tc>
      </w:tr>
    </w:tbl>
    <w:p>
      <w:pPr>
        <w:jc w:val="both"/>
        <w:rPr>
          <w:rFonts w:ascii="Cambria" w:hAnsi="Cambria"/>
          <w:sz w:val="19"/>
          <w:szCs w:val="19"/>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31"/>
      </w:tblGrid>
      <w:tr>
        <w:trPr>
          <w:trHeight w:val="298"/>
        </w:trPr>
        <w:tc>
          <w:tcPr>
            <w:tcW w:w="10031" w:type="dxa"/>
            <w:shd w:val="clear" w:color="auto" w:fill="F2F2F2" w:themeFill="background1" w:themeFillShade="F2"/>
            <w:vAlign w:val="center"/>
          </w:tcPr>
          <w:p>
            <w:pPr>
              <w:rPr>
                <w:rFonts w:ascii="Cambria" w:hAnsi="Cambria"/>
                <w:b/>
                <w:sz w:val="19"/>
                <w:szCs w:val="19"/>
              </w:rPr>
            </w:pPr>
            <w:r>
              <w:rPr>
                <w:rFonts w:ascii="Cambria" w:hAnsi="Cambria"/>
                <w:b/>
                <w:sz w:val="19"/>
                <w:szCs w:val="19"/>
              </w:rPr>
              <w:t>12.ÓRGÃOS:</w:t>
            </w:r>
          </w:p>
        </w:tc>
      </w:tr>
      <w:tr>
        <w:trPr>
          <w:trHeight w:val="411"/>
        </w:trPr>
        <w:tc>
          <w:tcPr>
            <w:tcW w:w="10031" w:type="dxa"/>
            <w:vAlign w:val="center"/>
          </w:tcPr>
          <w:p>
            <w:pPr>
              <w:pStyle w:val="PargrafodaLista"/>
              <w:numPr>
                <w:ilvl w:val="0"/>
                <w:numId w:val="16"/>
              </w:numPr>
              <w:tabs>
                <w:tab w:val="left" w:pos="236"/>
              </w:tabs>
              <w:suppressAutoHyphens/>
              <w:spacing w:after="0" w:line="240" w:lineRule="auto"/>
              <w:ind w:left="22" w:firstLine="0"/>
              <w:jc w:val="both"/>
              <w:rPr>
                <w:rFonts w:ascii="Cambria" w:hAnsi="Cambria"/>
                <w:sz w:val="19"/>
                <w:szCs w:val="19"/>
              </w:rPr>
            </w:pPr>
            <w:r>
              <w:rPr>
                <w:rFonts w:ascii="Cambria" w:hAnsi="Cambria"/>
                <w:bCs/>
                <w:sz w:val="19"/>
                <w:szCs w:val="19"/>
              </w:rPr>
              <w:t>Secretaria de Agricultura e Meio Ambiente;</w:t>
            </w:r>
          </w:p>
          <w:p>
            <w:pPr>
              <w:pStyle w:val="PargrafodaLista"/>
              <w:numPr>
                <w:ilvl w:val="0"/>
                <w:numId w:val="16"/>
              </w:numPr>
              <w:tabs>
                <w:tab w:val="left" w:pos="236"/>
              </w:tabs>
              <w:suppressAutoHyphens/>
              <w:spacing w:after="0" w:line="240" w:lineRule="auto"/>
              <w:ind w:left="22" w:firstLine="0"/>
              <w:jc w:val="both"/>
              <w:rPr>
                <w:rFonts w:ascii="Cambria" w:hAnsi="Cambria"/>
                <w:sz w:val="19"/>
                <w:szCs w:val="19"/>
              </w:rPr>
            </w:pPr>
            <w:r>
              <w:rPr>
                <w:rFonts w:ascii="Cambria" w:hAnsi="Cambria"/>
                <w:sz w:val="19"/>
                <w:szCs w:val="19"/>
              </w:rPr>
              <w:t>Secretaria Municipal de Educação;</w:t>
            </w:r>
          </w:p>
          <w:p>
            <w:pPr>
              <w:pStyle w:val="PargrafodaLista"/>
              <w:numPr>
                <w:ilvl w:val="0"/>
                <w:numId w:val="16"/>
              </w:numPr>
              <w:tabs>
                <w:tab w:val="left" w:pos="236"/>
              </w:tabs>
              <w:suppressAutoHyphens/>
              <w:spacing w:after="0" w:line="240" w:lineRule="auto"/>
              <w:ind w:left="22" w:firstLine="0"/>
              <w:jc w:val="both"/>
              <w:rPr>
                <w:rFonts w:ascii="Cambria" w:hAnsi="Cambria"/>
                <w:sz w:val="19"/>
                <w:szCs w:val="19"/>
              </w:rPr>
            </w:pPr>
            <w:r>
              <w:rPr>
                <w:rFonts w:ascii="Cambria" w:hAnsi="Cambria"/>
                <w:sz w:val="19"/>
                <w:szCs w:val="19"/>
              </w:rPr>
              <w:t>Chefe do Gabinete da Prefeita;</w:t>
            </w:r>
          </w:p>
          <w:p>
            <w:pPr>
              <w:pStyle w:val="PargrafodaLista"/>
              <w:numPr>
                <w:ilvl w:val="0"/>
                <w:numId w:val="16"/>
              </w:numPr>
              <w:tabs>
                <w:tab w:val="left" w:pos="236"/>
              </w:tabs>
              <w:suppressAutoHyphens/>
              <w:spacing w:after="0" w:line="240" w:lineRule="auto"/>
              <w:ind w:left="22" w:firstLine="0"/>
              <w:jc w:val="both"/>
              <w:rPr>
                <w:rFonts w:ascii="Cambria" w:hAnsi="Cambria"/>
                <w:sz w:val="19"/>
                <w:szCs w:val="19"/>
              </w:rPr>
            </w:pPr>
            <w:r>
              <w:rPr>
                <w:rFonts w:ascii="Cambria" w:hAnsi="Cambria"/>
                <w:sz w:val="19"/>
                <w:szCs w:val="19"/>
              </w:rPr>
              <w:t>Secretaria de Infraestrutura e Serviços Públicos;</w:t>
            </w:r>
          </w:p>
          <w:p>
            <w:pPr>
              <w:pStyle w:val="PargrafodaLista"/>
              <w:numPr>
                <w:ilvl w:val="0"/>
                <w:numId w:val="16"/>
              </w:numPr>
              <w:tabs>
                <w:tab w:val="left" w:pos="236"/>
              </w:tabs>
              <w:suppressAutoHyphens/>
              <w:spacing w:after="0" w:line="240" w:lineRule="auto"/>
              <w:ind w:left="22" w:firstLine="0"/>
              <w:jc w:val="both"/>
              <w:rPr>
                <w:rFonts w:ascii="Cambria" w:hAnsi="Cambria"/>
                <w:sz w:val="19"/>
                <w:szCs w:val="19"/>
              </w:rPr>
            </w:pPr>
            <w:r>
              <w:rPr>
                <w:rFonts w:ascii="Cambria" w:hAnsi="Cambria"/>
                <w:sz w:val="19"/>
                <w:szCs w:val="19"/>
              </w:rPr>
              <w:t>Secretaria Municipal de Saúde.</w:t>
            </w:r>
          </w:p>
        </w:tc>
      </w:tr>
    </w:tbl>
    <w:p>
      <w:pPr>
        <w:jc w:val="both"/>
        <w:rPr>
          <w:rFonts w:ascii="Cambria" w:hAnsi="Cambria"/>
          <w:sz w:val="19"/>
          <w:szCs w:val="19"/>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3652"/>
        <w:gridCol w:w="2126"/>
        <w:gridCol w:w="2127"/>
        <w:gridCol w:w="2126"/>
      </w:tblGrid>
      <w:tr>
        <w:tc>
          <w:tcPr>
            <w:tcW w:w="3652" w:type="dxa"/>
            <w:shd w:val="clear" w:color="auto" w:fill="F2F2F2" w:themeFill="background1" w:themeFillShade="F2"/>
            <w:vAlign w:val="center"/>
          </w:tcPr>
          <w:p>
            <w:pPr>
              <w:rPr>
                <w:rFonts w:ascii="Cambria" w:hAnsi="Cambria"/>
                <w:b/>
                <w:sz w:val="19"/>
                <w:szCs w:val="19"/>
              </w:rPr>
            </w:pPr>
            <w:r>
              <w:rPr>
                <w:rFonts w:ascii="Cambria" w:hAnsi="Cambria"/>
                <w:b/>
                <w:sz w:val="19"/>
                <w:szCs w:val="19"/>
              </w:rPr>
              <w:t>13.LICITAÇÃO EXCLUSIVA OU COM COTAS PARA ME E EPP?</w:t>
            </w:r>
          </w:p>
        </w:tc>
        <w:tc>
          <w:tcPr>
            <w:tcW w:w="2126" w:type="dxa"/>
            <w:shd w:val="clear" w:color="auto" w:fill="F2F2F2" w:themeFill="background1" w:themeFillShade="F2"/>
            <w:vAlign w:val="center"/>
          </w:tcPr>
          <w:p>
            <w:pPr>
              <w:jc w:val="both"/>
              <w:rPr>
                <w:rFonts w:ascii="Cambria" w:hAnsi="Cambria"/>
                <w:b/>
                <w:sz w:val="19"/>
                <w:szCs w:val="19"/>
              </w:rPr>
            </w:pPr>
            <w:r>
              <w:rPr>
                <w:rFonts w:ascii="Cambria" w:hAnsi="Cambria"/>
                <w:b/>
                <w:sz w:val="19"/>
                <w:szCs w:val="19"/>
              </w:rPr>
              <w:t>14.FORNECIMENTO:</w:t>
            </w:r>
          </w:p>
        </w:tc>
        <w:tc>
          <w:tcPr>
            <w:tcW w:w="2127" w:type="dxa"/>
            <w:shd w:val="clear" w:color="auto" w:fill="F2F2F2" w:themeFill="background1" w:themeFillShade="F2"/>
            <w:vAlign w:val="center"/>
          </w:tcPr>
          <w:p>
            <w:pPr>
              <w:jc w:val="both"/>
              <w:rPr>
                <w:rFonts w:ascii="Cambria" w:hAnsi="Cambria"/>
                <w:b/>
                <w:sz w:val="19"/>
                <w:szCs w:val="19"/>
              </w:rPr>
            </w:pPr>
            <w:r>
              <w:rPr>
                <w:rFonts w:ascii="Cambria" w:hAnsi="Cambria"/>
                <w:b/>
                <w:sz w:val="19"/>
                <w:szCs w:val="19"/>
              </w:rPr>
              <w:t>15. PRAZO DE EXECUÇÃO:</w:t>
            </w:r>
          </w:p>
        </w:tc>
        <w:tc>
          <w:tcPr>
            <w:tcW w:w="2126" w:type="dxa"/>
            <w:shd w:val="clear" w:color="auto" w:fill="F2F2F2" w:themeFill="background1" w:themeFillShade="F2"/>
            <w:vAlign w:val="center"/>
          </w:tcPr>
          <w:p>
            <w:pPr>
              <w:jc w:val="both"/>
              <w:rPr>
                <w:rFonts w:ascii="Cambria" w:hAnsi="Cambria"/>
                <w:b/>
                <w:sz w:val="19"/>
                <w:szCs w:val="19"/>
              </w:rPr>
            </w:pPr>
            <w:r>
              <w:rPr>
                <w:rFonts w:ascii="Cambria" w:hAnsi="Cambria"/>
                <w:b/>
                <w:sz w:val="19"/>
                <w:szCs w:val="19"/>
              </w:rPr>
              <w:t>16.POSSIBILIDADE DE AMOSTRAS?</w:t>
            </w:r>
          </w:p>
        </w:tc>
      </w:tr>
      <w:tr>
        <w:trPr>
          <w:trHeight w:val="393"/>
        </w:trPr>
        <w:tc>
          <w:tcPr>
            <w:tcW w:w="3652" w:type="dxa"/>
            <w:vAlign w:val="center"/>
          </w:tcPr>
          <w:p>
            <w:pPr>
              <w:jc w:val="center"/>
              <w:rPr>
                <w:rFonts w:ascii="Cambria" w:hAnsi="Cambria"/>
                <w:sz w:val="19"/>
                <w:szCs w:val="19"/>
              </w:rPr>
            </w:pPr>
            <w:r>
              <w:rPr>
                <w:rFonts w:ascii="Cambria" w:hAnsi="Cambria"/>
                <w:sz w:val="19"/>
                <w:szCs w:val="19"/>
              </w:rPr>
              <w:t xml:space="preserve">DESTINADO A AMPLA PARTICIPAÇÃO </w:t>
            </w:r>
          </w:p>
        </w:tc>
        <w:tc>
          <w:tcPr>
            <w:tcW w:w="2126" w:type="dxa"/>
            <w:vAlign w:val="center"/>
          </w:tcPr>
          <w:p>
            <w:pPr>
              <w:jc w:val="center"/>
              <w:rPr>
                <w:rFonts w:ascii="Cambria" w:hAnsi="Cambria"/>
                <w:sz w:val="19"/>
                <w:szCs w:val="19"/>
              </w:rPr>
            </w:pPr>
            <w:r>
              <w:rPr>
                <w:rFonts w:ascii="Cambria" w:hAnsi="Cambria"/>
                <w:sz w:val="19"/>
                <w:szCs w:val="19"/>
              </w:rPr>
              <w:t>PARCELADO</w:t>
            </w:r>
          </w:p>
        </w:tc>
        <w:tc>
          <w:tcPr>
            <w:tcW w:w="2127" w:type="dxa"/>
            <w:vAlign w:val="center"/>
          </w:tcPr>
          <w:p>
            <w:pPr>
              <w:jc w:val="center"/>
              <w:rPr>
                <w:rFonts w:ascii="Cambria" w:hAnsi="Cambria"/>
                <w:sz w:val="19"/>
                <w:szCs w:val="19"/>
              </w:rPr>
            </w:pPr>
            <w:r>
              <w:rPr>
                <w:rFonts w:ascii="Cambria" w:hAnsi="Cambria"/>
                <w:sz w:val="19"/>
                <w:szCs w:val="19"/>
                <w:lang w:val="pt-PT"/>
              </w:rPr>
              <w:t>12(DOZE) MESES</w:t>
            </w:r>
          </w:p>
        </w:tc>
        <w:tc>
          <w:tcPr>
            <w:tcW w:w="2126" w:type="dxa"/>
            <w:vAlign w:val="center"/>
          </w:tcPr>
          <w:p>
            <w:pPr>
              <w:jc w:val="center"/>
              <w:rPr>
                <w:rFonts w:ascii="Cambria" w:hAnsi="Cambria"/>
                <w:sz w:val="19"/>
                <w:szCs w:val="19"/>
              </w:rPr>
            </w:pPr>
            <w:r>
              <w:rPr>
                <w:rFonts w:ascii="Cambria" w:hAnsi="Cambria"/>
                <w:sz w:val="19"/>
                <w:szCs w:val="19"/>
              </w:rPr>
              <w:t>NÃO</w:t>
            </w:r>
          </w:p>
        </w:tc>
      </w:tr>
    </w:tbl>
    <w:p>
      <w:pPr>
        <w:jc w:val="both"/>
        <w:rPr>
          <w:rFonts w:ascii="Cambria" w:hAnsi="Cambria"/>
          <w:sz w:val="19"/>
          <w:szCs w:val="19"/>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31"/>
      </w:tblGrid>
      <w:tr>
        <w:trPr>
          <w:trHeight w:val="258"/>
        </w:trPr>
        <w:tc>
          <w:tcPr>
            <w:tcW w:w="10031" w:type="dxa"/>
            <w:shd w:val="clear" w:color="auto" w:fill="F2F2F2" w:themeFill="background1" w:themeFillShade="F2"/>
            <w:vAlign w:val="center"/>
          </w:tcPr>
          <w:p>
            <w:pPr>
              <w:jc w:val="both"/>
              <w:rPr>
                <w:rFonts w:ascii="Cambria" w:hAnsi="Cambria"/>
                <w:b/>
                <w:sz w:val="19"/>
                <w:szCs w:val="19"/>
              </w:rPr>
            </w:pPr>
            <w:r>
              <w:rPr>
                <w:rFonts w:ascii="Cambria" w:hAnsi="Cambria"/>
                <w:b/>
                <w:sz w:val="19"/>
                <w:szCs w:val="19"/>
              </w:rPr>
              <w:t>17.DOS ATENDIMENTOS, PEDIDOS DE ESCLARECIMENTOS, IMPUGNAÇÕES, RECURSOS E VISTAS AO PROCESSO</w:t>
            </w:r>
          </w:p>
        </w:tc>
      </w:tr>
      <w:tr>
        <w:trPr>
          <w:trHeight w:val="479"/>
        </w:trPr>
        <w:tc>
          <w:tcPr>
            <w:tcW w:w="10031" w:type="dxa"/>
            <w:vAlign w:val="center"/>
          </w:tcPr>
          <w:p>
            <w:pPr>
              <w:spacing w:line="276" w:lineRule="auto"/>
              <w:jc w:val="both"/>
              <w:rPr>
                <w:rFonts w:ascii="Cambria" w:hAnsi="Cambria"/>
                <w:sz w:val="19"/>
                <w:szCs w:val="19"/>
              </w:rPr>
            </w:pPr>
            <w:r>
              <w:rPr>
                <w:rFonts w:ascii="Cambria" w:hAnsi="Cambria"/>
                <w:sz w:val="19"/>
                <w:szCs w:val="19"/>
              </w:rPr>
              <w:t xml:space="preserve">Todos os </w:t>
            </w:r>
            <w:r>
              <w:rPr>
                <w:rFonts w:ascii="Cambria" w:hAnsi="Cambria"/>
                <w:b/>
                <w:sz w:val="19"/>
                <w:szCs w:val="19"/>
              </w:rPr>
              <w:t>atendimentos</w:t>
            </w:r>
            <w:r>
              <w:rPr>
                <w:rFonts w:ascii="Cambria" w:hAnsi="Cambria"/>
                <w:sz w:val="19"/>
                <w:szCs w:val="19"/>
              </w:rPr>
              <w:t xml:space="preserve"> e demais tratativas com o(a) Pregoeiro(a) serão realizados </w:t>
            </w:r>
            <w:r>
              <w:rPr>
                <w:rFonts w:ascii="Cambria" w:hAnsi="Cambria"/>
                <w:b/>
                <w:sz w:val="19"/>
                <w:szCs w:val="19"/>
              </w:rPr>
              <w:t xml:space="preserve">exclusivamente </w:t>
            </w:r>
            <w:r>
              <w:rPr>
                <w:rFonts w:ascii="Cambria" w:hAnsi="Cambria"/>
                <w:sz w:val="19"/>
                <w:szCs w:val="19"/>
              </w:rPr>
              <w:t xml:space="preserve">por meio virtual, mediante pedido formal a ser enviado através do e-mail: </w:t>
            </w:r>
            <w:r>
              <w:rPr>
                <w:rFonts w:ascii="Cambria" w:hAnsi="Cambria"/>
                <w:b/>
                <w:bCs/>
              </w:rPr>
              <w:t>licitacao@miraima.ce.gov.br</w:t>
            </w:r>
            <w:r>
              <w:rPr>
                <w:rFonts w:ascii="Cambria" w:hAnsi="Cambria"/>
                <w:sz w:val="19"/>
                <w:szCs w:val="19"/>
              </w:rPr>
              <w:t xml:space="preserve">, assim como os </w:t>
            </w:r>
            <w:r>
              <w:rPr>
                <w:rFonts w:ascii="Cambria" w:hAnsi="Cambria"/>
                <w:b/>
                <w:sz w:val="19"/>
                <w:szCs w:val="19"/>
              </w:rPr>
              <w:t xml:space="preserve">pedidos de esclarecimentos, impugnações, recursos e pedidos de vistas aos autos, </w:t>
            </w:r>
            <w:r>
              <w:rPr>
                <w:rFonts w:ascii="Cambria" w:hAnsi="Cambria"/>
                <w:bCs/>
                <w:sz w:val="19"/>
                <w:szCs w:val="19"/>
              </w:rPr>
              <w:t>nos termos consignados no presente edital</w:t>
            </w:r>
            <w:r>
              <w:rPr>
                <w:rFonts w:ascii="Cambria" w:hAnsi="Cambria"/>
                <w:b/>
                <w:sz w:val="19"/>
                <w:szCs w:val="19"/>
              </w:rPr>
              <w:t>.</w:t>
            </w:r>
          </w:p>
        </w:tc>
      </w:tr>
    </w:tbl>
    <w:p>
      <w:pPr>
        <w:jc w:val="both"/>
        <w:rPr>
          <w:rFonts w:ascii="Cambria" w:hAnsi="Cambria"/>
          <w:sz w:val="19"/>
          <w:szCs w:val="19"/>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31"/>
      </w:tblGrid>
      <w:tr>
        <w:trPr>
          <w:trHeight w:val="258"/>
        </w:trPr>
        <w:tc>
          <w:tcPr>
            <w:tcW w:w="10031" w:type="dxa"/>
            <w:shd w:val="clear" w:color="auto" w:fill="F2F2F2" w:themeFill="background1" w:themeFillShade="F2"/>
            <w:vAlign w:val="center"/>
          </w:tcPr>
          <w:p>
            <w:pPr>
              <w:jc w:val="both"/>
              <w:rPr>
                <w:rFonts w:ascii="Cambria" w:hAnsi="Cambria"/>
                <w:b/>
                <w:sz w:val="19"/>
                <w:szCs w:val="19"/>
              </w:rPr>
            </w:pPr>
            <w:r>
              <w:rPr>
                <w:rFonts w:ascii="Cambria" w:hAnsi="Cambria"/>
                <w:b/>
                <w:sz w:val="19"/>
                <w:szCs w:val="19"/>
              </w:rPr>
              <w:t>18.OBSERVAÇÕES IMPORTANTES E OBSERVÂNCIA OBRIGATÓRIA:</w:t>
            </w:r>
          </w:p>
        </w:tc>
      </w:tr>
      <w:tr>
        <w:trPr>
          <w:trHeight w:val="821"/>
        </w:trPr>
        <w:tc>
          <w:tcPr>
            <w:tcW w:w="10031" w:type="dxa"/>
            <w:vAlign w:val="center"/>
          </w:tcPr>
          <w:p>
            <w:pPr>
              <w:pStyle w:val="PargrafodaLista"/>
              <w:numPr>
                <w:ilvl w:val="0"/>
                <w:numId w:val="18"/>
              </w:numPr>
              <w:tabs>
                <w:tab w:val="left" w:pos="306"/>
              </w:tabs>
              <w:suppressAutoHyphens/>
              <w:spacing w:after="0" w:line="276" w:lineRule="auto"/>
              <w:ind w:left="0" w:firstLine="0"/>
              <w:jc w:val="both"/>
              <w:rPr>
                <w:rFonts w:ascii="Cambria" w:hAnsi="Cambria"/>
                <w:sz w:val="19"/>
                <w:szCs w:val="19"/>
              </w:rPr>
            </w:pPr>
            <w:r>
              <w:rPr>
                <w:rFonts w:ascii="Cambria" w:hAnsi="Cambria"/>
                <w:sz w:val="19"/>
                <w:szCs w:val="19"/>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18"/>
              </w:numPr>
              <w:tabs>
                <w:tab w:val="left" w:pos="306"/>
              </w:tabs>
              <w:suppressAutoHyphens/>
              <w:spacing w:after="0" w:line="276" w:lineRule="auto"/>
              <w:ind w:left="0" w:firstLine="0"/>
              <w:jc w:val="both"/>
              <w:rPr>
                <w:rFonts w:ascii="Cambria" w:hAnsi="Cambria"/>
                <w:sz w:val="19"/>
                <w:szCs w:val="19"/>
              </w:rPr>
            </w:pPr>
            <w:r>
              <w:rPr>
                <w:rFonts w:ascii="Cambria" w:hAnsi="Cambria"/>
                <w:sz w:val="19"/>
                <w:szCs w:val="19"/>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18"/>
              </w:numPr>
              <w:tabs>
                <w:tab w:val="left" w:pos="306"/>
              </w:tabs>
              <w:suppressAutoHyphens/>
              <w:spacing w:after="0" w:line="276" w:lineRule="auto"/>
              <w:ind w:left="0" w:firstLine="0"/>
              <w:jc w:val="both"/>
              <w:rPr>
                <w:rFonts w:ascii="Cambria" w:hAnsi="Cambria"/>
                <w:sz w:val="19"/>
                <w:szCs w:val="19"/>
              </w:rPr>
            </w:pPr>
            <w:r>
              <w:rPr>
                <w:rFonts w:ascii="Cambria" w:hAnsi="Cambria"/>
                <w:sz w:val="19"/>
                <w:szCs w:val="19"/>
              </w:rPr>
              <w:t xml:space="preserve">Havendo discrepância entre os textos constantes do edital e seus ANEXOS, inclusive quanto a especificação dos produtos, unidades e demais detalhamentos ante aqueles constantes da plataforma </w:t>
            </w:r>
            <w:hyperlink r:id="rId7" w:history="1">
              <w:r>
                <w:rPr>
                  <w:rStyle w:val="Hyperlink"/>
                  <w:rFonts w:ascii="Cambria" w:hAnsi="Cambria"/>
                  <w:color w:val="auto"/>
                  <w:sz w:val="19"/>
                  <w:szCs w:val="19"/>
                </w:rPr>
                <w:t>WWW.COMPRAS.GOV.BR</w:t>
              </w:r>
            </w:hyperlink>
            <w:r>
              <w:rPr>
                <w:rFonts w:ascii="Cambria" w:hAnsi="Cambria"/>
                <w:sz w:val="19"/>
                <w:szCs w:val="19"/>
              </w:rPr>
              <w:t xml:space="preserve"> prevalecerão as informações constantes do edital e seus ANEXOS.</w:t>
            </w:r>
          </w:p>
          <w:p>
            <w:pPr>
              <w:pStyle w:val="PargrafodaLista"/>
              <w:numPr>
                <w:ilvl w:val="0"/>
                <w:numId w:val="18"/>
              </w:numPr>
              <w:tabs>
                <w:tab w:val="left" w:pos="306"/>
              </w:tabs>
              <w:suppressAutoHyphens/>
              <w:spacing w:after="0" w:line="276" w:lineRule="auto"/>
              <w:ind w:left="0" w:firstLine="0"/>
              <w:jc w:val="both"/>
              <w:rPr>
                <w:rFonts w:ascii="Cambria" w:hAnsi="Cambria"/>
                <w:sz w:val="19"/>
                <w:szCs w:val="19"/>
              </w:rPr>
            </w:pPr>
            <w:r>
              <w:rPr>
                <w:rFonts w:ascii="Cambria" w:hAnsi="Cambria"/>
                <w:sz w:val="19"/>
                <w:szCs w:val="19"/>
              </w:rPr>
              <w:t>Os Regulamentos de Licitações e Contratos da Prefeitura Municipal de Miraíma/CE, são parte integrante desse instrumento. Os regulamentos poderão ser obtidos no seguinte endereço eletrônico</w:t>
            </w:r>
            <w:r>
              <w:t xml:space="preserve"> </w:t>
            </w:r>
            <w:r>
              <w:rPr>
                <w:rFonts w:ascii="Cambria" w:hAnsi="Cambria"/>
                <w:sz w:val="19"/>
                <w:szCs w:val="19"/>
              </w:rPr>
              <w:t>https://www.miraima.ce.gov.br/.</w:t>
            </w:r>
          </w:p>
        </w:tc>
      </w:tr>
    </w:tbl>
    <w:p>
      <w:pPr>
        <w:rPr>
          <w:rFonts w:ascii="Cambria" w:hAnsi="Cambria"/>
          <w:b/>
          <w:sz w:val="19"/>
          <w:szCs w:val="19"/>
        </w:rPr>
      </w:pPr>
      <w:r>
        <w:rPr>
          <w:rFonts w:ascii="Cambria" w:hAnsi="Cambria"/>
          <w:sz w:val="19"/>
          <w:szCs w:val="19"/>
        </w:rPr>
        <w:tab/>
      </w:r>
      <w:r>
        <w:rPr>
          <w:rFonts w:ascii="Cambria" w:hAnsi="Cambria"/>
          <w:b/>
          <w:sz w:val="24"/>
          <w:szCs w:val="24"/>
          <w:lang w:eastAsia="pt-BR"/>
        </w:rPr>
        <w:br w:type="page"/>
      </w:r>
    </w:p>
    <w:p>
      <w:pPr>
        <w:jc w:val="center"/>
        <w:rPr>
          <w:rFonts w:ascii="Cambria" w:hAnsi="Cambria"/>
          <w:b/>
          <w:bCs/>
          <w:sz w:val="24"/>
          <w:szCs w:val="24"/>
        </w:rPr>
      </w:pPr>
      <w:r>
        <w:rPr>
          <w:rFonts w:ascii="Cambria" w:hAnsi="Cambria"/>
          <w:b/>
          <w:bCs/>
          <w:sz w:val="24"/>
          <w:szCs w:val="24"/>
        </w:rPr>
        <w:lastRenderedPageBreak/>
        <w:t>TERMO DE EDITAL</w:t>
      </w:r>
    </w:p>
    <w:p>
      <w:pPr>
        <w:jc w:val="center"/>
        <w:rPr>
          <w:rFonts w:ascii="Cambria" w:hAnsi="Cambria"/>
          <w:b/>
          <w:bCs/>
          <w:sz w:val="24"/>
          <w:szCs w:val="24"/>
        </w:rPr>
      </w:pPr>
      <w:r>
        <w:rPr>
          <w:rFonts w:ascii="Cambria" w:hAnsi="Cambria"/>
          <w:b/>
          <w:bCs/>
          <w:sz w:val="24"/>
          <w:szCs w:val="24"/>
        </w:rPr>
        <w:t>PREGÃO ELETRÔNICO Nº 90009/2026 - PE</w:t>
      </w:r>
    </w:p>
    <w:p>
      <w:pPr>
        <w:jc w:val="center"/>
        <w:rPr>
          <w:rFonts w:ascii="Cambria" w:hAnsi="Cambria"/>
          <w:bCs/>
          <w:sz w:val="24"/>
          <w:szCs w:val="24"/>
        </w:rPr>
      </w:pPr>
    </w:p>
    <w:tbl>
      <w:tblPr>
        <w:tblStyle w:val="Tabelacomgrade"/>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F2F2F2" w:themeFill="background1" w:themeFillShade="F2"/>
            <w:vAlign w:val="center"/>
          </w:tcPr>
          <w:p>
            <w:pPr>
              <w:jc w:val="center"/>
              <w:rPr>
                <w:rFonts w:ascii="Cambria" w:hAnsi="Cambria"/>
                <w:b/>
                <w:sz w:val="24"/>
                <w:szCs w:val="24"/>
              </w:rPr>
            </w:pPr>
            <w:r>
              <w:rPr>
                <w:rFonts w:ascii="Cambria" w:hAnsi="Cambria"/>
                <w:b/>
                <w:sz w:val="24"/>
                <w:szCs w:val="24"/>
              </w:rPr>
              <w:t>PARTE GERAL</w:t>
            </w:r>
          </w:p>
        </w:tc>
      </w:tr>
    </w:tbl>
    <w:p>
      <w:pPr>
        <w:tabs>
          <w:tab w:val="left" w:pos="6990"/>
        </w:tabs>
        <w:rPr>
          <w:rFonts w:ascii="Cambria" w:hAnsi="Cambria"/>
          <w:bCs/>
          <w:sz w:val="24"/>
          <w:szCs w:val="24"/>
        </w:rPr>
      </w:pPr>
      <w:r>
        <w:rPr>
          <w:rFonts w:ascii="Cambria" w:hAnsi="Cambria"/>
          <w:bCs/>
          <w:sz w:val="24"/>
          <w:szCs w:val="24"/>
        </w:rPr>
        <w:tab/>
      </w:r>
    </w:p>
    <w:p>
      <w:pPr>
        <w:jc w:val="center"/>
        <w:rPr>
          <w:rFonts w:ascii="Cambria" w:hAnsi="Cambria"/>
          <w:b/>
          <w:sz w:val="24"/>
          <w:szCs w:val="24"/>
        </w:rPr>
      </w:pPr>
      <w:r>
        <w:rPr>
          <w:rFonts w:ascii="Cambria" w:hAnsi="Cambria"/>
          <w:b/>
          <w:bCs/>
          <w:sz w:val="24"/>
          <w:szCs w:val="24"/>
        </w:rPr>
        <w:t>PREÂMBULO</w:t>
      </w:r>
    </w:p>
    <w:p>
      <w:pPr>
        <w:jc w:val="center"/>
        <w:rPr>
          <w:rFonts w:ascii="Cambria" w:hAnsi="Cambria"/>
          <w:b/>
          <w:sz w:val="24"/>
          <w:szCs w:val="24"/>
        </w:rPr>
      </w:pPr>
    </w:p>
    <w:p>
      <w:pPr>
        <w:jc w:val="both"/>
        <w:rPr>
          <w:rFonts w:ascii="Cambria" w:hAnsi="Cambria"/>
          <w:sz w:val="24"/>
          <w:szCs w:val="24"/>
        </w:rPr>
      </w:pPr>
      <w:r>
        <w:rPr>
          <w:rFonts w:ascii="Cambria" w:hAnsi="Cambria"/>
          <w:b/>
          <w:sz w:val="24"/>
          <w:szCs w:val="24"/>
        </w:rPr>
        <w:t>A PREFEITURA MUNICIPAL DE MIRAÍMA/CE</w:t>
      </w:r>
      <w:r>
        <w:rPr>
          <w:rFonts w:ascii="Cambria" w:hAnsi="Cambria"/>
          <w:sz w:val="24"/>
          <w:szCs w:val="24"/>
        </w:rPr>
        <w:t xml:space="preserve">, por meio da </w:t>
      </w:r>
      <w:r>
        <w:rPr>
          <w:rFonts w:ascii="Cambria" w:hAnsi="Cambria"/>
          <w:bCs/>
          <w:sz w:val="24"/>
          <w:szCs w:val="24"/>
        </w:rPr>
        <w:t>Secretaria de Agricultura e Meio Ambiente</w:t>
      </w:r>
      <w:r>
        <w:rPr>
          <w:rFonts w:ascii="Cambria" w:hAnsi="Cambria"/>
          <w:sz w:val="24"/>
          <w:szCs w:val="24"/>
        </w:rPr>
        <w:t xml:space="preserve">, Secretaria Municipal de Educação, Chefe do Gabinete da Prefeita, Secretaria de Infraestrutura e Serviços Públicos e Secretaria Municipal de Saúde, torna público, para conhecimento dos interessados, que se encontra aberto processo licitatório, na modalidade </w:t>
      </w:r>
      <w:r>
        <w:rPr>
          <w:rFonts w:ascii="Cambria" w:hAnsi="Cambria"/>
          <w:b/>
          <w:sz w:val="24"/>
          <w:szCs w:val="24"/>
        </w:rPr>
        <w:t>PREGÃO</w:t>
      </w:r>
      <w:r>
        <w:rPr>
          <w:rFonts w:ascii="Cambria" w:hAnsi="Cambria"/>
          <w:sz w:val="24"/>
          <w:szCs w:val="24"/>
        </w:rPr>
        <w:t xml:space="preserve">, em formato </w:t>
      </w:r>
      <w:r>
        <w:rPr>
          <w:rFonts w:ascii="Cambria" w:hAnsi="Cambria"/>
          <w:b/>
          <w:sz w:val="24"/>
          <w:szCs w:val="24"/>
        </w:rPr>
        <w:t xml:space="preserve">ELETRÔNICO Nº </w:t>
      </w:r>
      <w:r>
        <w:rPr>
          <w:rFonts w:ascii="Cambria" w:hAnsi="Cambria"/>
          <w:b/>
          <w:bCs/>
          <w:sz w:val="24"/>
          <w:szCs w:val="24"/>
        </w:rPr>
        <w:t>90009/2026 - PE</w:t>
      </w:r>
      <w:r>
        <w:rPr>
          <w:rFonts w:ascii="Cambria" w:hAnsi="Cambria"/>
          <w:sz w:val="24"/>
          <w:szCs w:val="24"/>
        </w:rPr>
        <w:t xml:space="preserve">, do tipo e critério de julgamento assinalados no quadro resumo acima, do modo e nas condições fixadas no quadro de resumo inicial, a ser realizado em sessão pública por meio de comunicação via internet, através do endereço eletrônico </w:t>
      </w:r>
      <w:hyperlink r:id="rId8" w:history="1">
        <w:r>
          <w:rPr>
            <w:rStyle w:val="Hyperlink"/>
            <w:rFonts w:ascii="Cambria" w:hAnsi="Cambria"/>
            <w:color w:val="auto"/>
            <w:sz w:val="24"/>
            <w:szCs w:val="24"/>
          </w:rPr>
          <w:t>www.compras.gov.br</w:t>
        </w:r>
      </w:hyperlink>
      <w:r>
        <w:rPr>
          <w:rFonts w:ascii="Cambria" w:hAnsi="Cambria"/>
          <w:sz w:val="24"/>
          <w:szCs w:val="24"/>
        </w:rPr>
        <w:t xml:space="preserve">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p>
    <w:p>
      <w:pPr>
        <w:pStyle w:val="Ttulo1"/>
        <w:rPr>
          <w:rFonts w:ascii="Cambria" w:hAnsi="Cambria" w:cs="Times New Roman"/>
          <w:color w:val="auto"/>
          <w:sz w:val="24"/>
          <w:szCs w:val="24"/>
        </w:rPr>
      </w:pPr>
    </w:p>
    <w:p>
      <w:pPr>
        <w:jc w:val="both"/>
        <w:rPr>
          <w:rFonts w:ascii="Cambria" w:hAnsi="Cambria"/>
          <w:sz w:val="24"/>
          <w:szCs w:val="24"/>
        </w:rPr>
      </w:pPr>
      <w:r>
        <w:rPr>
          <w:rFonts w:ascii="Cambria" w:hAnsi="Cambria"/>
          <w:sz w:val="24"/>
          <w:szCs w:val="24"/>
        </w:rPr>
        <w:t>A parte geral do presente edital é subdividida em duas outras partes, conforme a seguir apresentadas:</w:t>
      </w:r>
    </w:p>
    <w:p>
      <w:pPr>
        <w:rPr>
          <w:rFonts w:ascii="Cambria" w:hAnsi="Cambria"/>
          <w:b/>
          <w:sz w:val="24"/>
          <w:szCs w:val="24"/>
        </w:rPr>
      </w:pPr>
    </w:p>
    <w:p>
      <w:pPr>
        <w:jc w:val="both"/>
        <w:rPr>
          <w:rFonts w:ascii="Cambria" w:hAnsi="Cambria"/>
          <w:sz w:val="24"/>
          <w:szCs w:val="24"/>
        </w:rPr>
      </w:pPr>
      <w:r>
        <w:rPr>
          <w:rFonts w:ascii="Cambria" w:hAnsi="Cambria"/>
          <w:b/>
          <w:sz w:val="24"/>
          <w:szCs w:val="24"/>
        </w:rPr>
        <w:t>SUBPARTE A – CONDIÇÕES PARA COMPETIÇÃO, JULGAMENTO E ADJUDICAÇÃO</w:t>
      </w:r>
      <w:r>
        <w:rPr>
          <w:rFonts w:ascii="Cambria" w:hAnsi="Cambria"/>
          <w:sz w:val="24"/>
          <w:szCs w:val="24"/>
        </w:rPr>
        <w:t>.</w:t>
      </w:r>
    </w:p>
    <w:p>
      <w:pPr>
        <w:jc w:val="both"/>
        <w:rPr>
          <w:rFonts w:ascii="Cambria" w:hAnsi="Cambria"/>
          <w:sz w:val="24"/>
          <w:szCs w:val="24"/>
        </w:rPr>
      </w:pPr>
      <w:r>
        <w:rPr>
          <w:rFonts w:ascii="Cambria" w:hAnsi="Cambria"/>
          <w:sz w:val="24"/>
          <w:szCs w:val="24"/>
        </w:rPr>
        <w:t>Em que são estabelecidos os requisitos e as condições para competição, julgamento e formalização de do contrato.</w:t>
      </w:r>
    </w:p>
    <w:p>
      <w:pPr>
        <w:rPr>
          <w:rFonts w:ascii="Cambria" w:hAnsi="Cambria"/>
          <w:b/>
          <w:sz w:val="24"/>
          <w:szCs w:val="24"/>
        </w:rPr>
      </w:pPr>
    </w:p>
    <w:p>
      <w:pPr>
        <w:rPr>
          <w:rFonts w:ascii="Cambria" w:hAnsi="Cambria"/>
          <w:b/>
          <w:sz w:val="24"/>
          <w:szCs w:val="24"/>
        </w:rPr>
      </w:pPr>
      <w:r>
        <w:rPr>
          <w:rFonts w:ascii="Cambria" w:hAnsi="Cambria"/>
          <w:b/>
          <w:sz w:val="24"/>
          <w:szCs w:val="24"/>
        </w:rPr>
        <w:t>SUBPARTE B – ANEXOS</w:t>
      </w:r>
    </w:p>
    <w:p>
      <w:pPr>
        <w:jc w:val="both"/>
        <w:rPr>
          <w:rFonts w:ascii="Cambria" w:hAnsi="Cambria"/>
          <w:sz w:val="24"/>
          <w:szCs w:val="24"/>
        </w:rPr>
      </w:pPr>
      <w:r>
        <w:rPr>
          <w:rFonts w:ascii="Cambria" w:hAnsi="Cambria"/>
          <w:sz w:val="24"/>
          <w:szCs w:val="24"/>
        </w:rPr>
        <w:t>ANEXO I –Termo de Referência e seus anexos;</w:t>
      </w:r>
    </w:p>
    <w:p>
      <w:pPr>
        <w:jc w:val="both"/>
        <w:rPr>
          <w:rFonts w:ascii="Cambria" w:hAnsi="Cambria"/>
          <w:sz w:val="24"/>
          <w:szCs w:val="24"/>
        </w:rPr>
      </w:pPr>
      <w:r>
        <w:rPr>
          <w:rFonts w:ascii="Cambria" w:hAnsi="Cambria"/>
          <w:sz w:val="24"/>
          <w:szCs w:val="24"/>
        </w:rPr>
        <w:t>ANEXO II – Modelo da Proposta de Preços;</w:t>
      </w:r>
    </w:p>
    <w:p>
      <w:pPr>
        <w:jc w:val="both"/>
        <w:rPr>
          <w:rFonts w:ascii="Cambria" w:hAnsi="Cambria"/>
          <w:sz w:val="24"/>
          <w:szCs w:val="24"/>
        </w:rPr>
      </w:pPr>
      <w:r>
        <w:rPr>
          <w:rFonts w:ascii="Cambria" w:hAnsi="Cambria"/>
          <w:sz w:val="24"/>
          <w:szCs w:val="24"/>
        </w:rPr>
        <w:t>ANEXO III – Minuta do Contrato.</w:t>
      </w:r>
    </w:p>
    <w:p>
      <w:pPr>
        <w:jc w:val="center"/>
        <w:rPr>
          <w:rFonts w:ascii="Cambria" w:hAnsi="Cambria"/>
          <w:sz w:val="24"/>
          <w:szCs w:val="24"/>
        </w:rPr>
      </w:pPr>
    </w:p>
    <w:p>
      <w:pPr>
        <w:pStyle w:val="Ttulo1"/>
        <w:keepNext w:val="0"/>
        <w:keepLines w:val="0"/>
        <w:numPr>
          <w:ilvl w:val="0"/>
          <w:numId w:val="35"/>
        </w:numPr>
        <w:tabs>
          <w:tab w:val="left" w:pos="284"/>
        </w:tabs>
        <w:suppressAutoHyphens/>
        <w:spacing w:before="0" w:after="0" w:line="240" w:lineRule="auto"/>
        <w:contextualSpacing/>
        <w:jc w:val="both"/>
        <w:rPr>
          <w:rFonts w:ascii="Cambria" w:hAnsi="Cambria" w:cs="Times New Roman"/>
          <w:b/>
          <w:color w:val="auto"/>
          <w:sz w:val="24"/>
          <w:szCs w:val="24"/>
        </w:rPr>
      </w:pPr>
      <w:r>
        <w:rPr>
          <w:rFonts w:ascii="Cambria" w:hAnsi="Cambria" w:cs="Times New Roman"/>
          <w:b/>
          <w:color w:val="auto"/>
          <w:sz w:val="24"/>
          <w:szCs w:val="24"/>
        </w:rPr>
        <w:t>DO OBJETO</w:t>
      </w:r>
    </w:p>
    <w:p>
      <w:pPr>
        <w:pStyle w:val="PargrafodaLista"/>
        <w:numPr>
          <w:ilvl w:val="1"/>
          <w:numId w:val="17"/>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 presente licitação tem como objeto a </w:t>
      </w:r>
      <w:r>
        <w:rPr>
          <w:rFonts w:ascii="Cambria" w:hAnsi="Cambria"/>
          <w:b/>
          <w:bCs/>
          <w:sz w:val="24"/>
          <w:szCs w:val="24"/>
        </w:rPr>
        <w:t>LOCAÇÃO DE VEÍCULOS DESTINADOS AO ATENDIMENTO DAS NECESSIDADES DAS DIVERSAS SECRETARIAS DO MUNICÍPIO DE MIRAÍMA/CE</w:t>
      </w:r>
      <w:r>
        <w:rPr>
          <w:rFonts w:ascii="Cambria" w:hAnsi="Cambria"/>
          <w:sz w:val="24"/>
          <w:szCs w:val="24"/>
        </w:rPr>
        <w:t>, tudo conforme especificações contidas no Termo de Referência, constante do anexo 01 do Edital.</w:t>
      </w:r>
    </w:p>
    <w:p>
      <w:pPr>
        <w:tabs>
          <w:tab w:val="left" w:pos="426"/>
        </w:tabs>
        <w:jc w:val="both"/>
        <w:rPr>
          <w:rFonts w:ascii="Cambria" w:hAnsi="Cambria"/>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FASES DO PROCESSO LICITATÓRIO</w:t>
      </w:r>
    </w:p>
    <w:p>
      <w:pPr>
        <w:pStyle w:val="PargrafodaLista"/>
        <w:numPr>
          <w:ilvl w:val="1"/>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A disputa do presente procedimento licitatório terá o seguinte trâmite, em fases distintas:</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 xml:space="preserve">Credenciamento na plataforma </w:t>
      </w:r>
      <w:hyperlink r:id="rId9"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Lances, aplicação do direito de preferência e critérios de desempate;</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lastRenderedPageBreak/>
        <w:t>Amostras, se for o caso;</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Negociação, se for o caso;</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Apresentação de propostas ajustadas;</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Fase de aceitabilidade das propostas;</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Habilitação do proponente melhor classificado;</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Recursos;</w:t>
      </w:r>
    </w:p>
    <w:p>
      <w:pPr>
        <w:pStyle w:val="PargrafodaLista"/>
        <w:numPr>
          <w:ilvl w:val="2"/>
          <w:numId w:val="21"/>
        </w:numPr>
        <w:tabs>
          <w:tab w:val="left" w:pos="426"/>
        </w:tabs>
        <w:suppressAutoHyphens/>
        <w:spacing w:after="0" w:line="240" w:lineRule="auto"/>
        <w:jc w:val="both"/>
        <w:rPr>
          <w:rFonts w:ascii="Cambria" w:hAnsi="Cambria"/>
          <w:sz w:val="24"/>
          <w:szCs w:val="24"/>
        </w:rPr>
      </w:pPr>
      <w:r>
        <w:rPr>
          <w:rFonts w:ascii="Cambria" w:hAnsi="Cambria"/>
          <w:sz w:val="24"/>
          <w:szCs w:val="24"/>
        </w:rPr>
        <w:t>Adjudicação.</w:t>
      </w:r>
    </w:p>
    <w:p>
      <w:pPr>
        <w:pStyle w:val="PargrafodaLista"/>
        <w:ind w:left="390"/>
        <w:rPr>
          <w:rFonts w:ascii="Cambria" w:hAnsi="Cambria"/>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CONDIÇÕES PARA PARTICIPAÇÃO.</w:t>
      </w: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PODERÃO PARTICIPAR DESTA LICITAÇÃO:</w:t>
      </w:r>
    </w:p>
    <w:p>
      <w:pPr>
        <w:pStyle w:val="Corpodetexto3"/>
        <w:numPr>
          <w:ilvl w:val="2"/>
          <w:numId w:val="20"/>
        </w:numPr>
        <w:tabs>
          <w:tab w:val="left" w:pos="709"/>
        </w:tabs>
        <w:ind w:left="0" w:firstLine="0"/>
        <w:jc w:val="both"/>
        <w:rPr>
          <w:rFonts w:ascii="Cambria" w:hAnsi="Cambria"/>
          <w:szCs w:val="24"/>
        </w:rPr>
      </w:pPr>
      <w:r>
        <w:rPr>
          <w:rFonts w:ascii="Cambria" w:hAnsi="Cambria"/>
          <w:bCs/>
          <w:szCs w:val="24"/>
        </w:rPr>
        <w:t>Quaisquer</w:t>
      </w:r>
      <w:r>
        <w:rPr>
          <w:rFonts w:ascii="Cambria" w:hAnsi="Cambria"/>
          <w:szCs w:val="24"/>
        </w:rPr>
        <w:t xml:space="preserve"> interessados na forma de </w:t>
      </w:r>
      <w:r>
        <w:rPr>
          <w:rFonts w:ascii="Cambria" w:hAnsi="Cambria"/>
          <w:b/>
          <w:szCs w:val="24"/>
          <w:u w:val="single"/>
        </w:rPr>
        <w:t xml:space="preserve">PESSOA JURÍDICA </w:t>
      </w:r>
      <w:r>
        <w:rPr>
          <w:rFonts w:ascii="Cambria" w:hAnsi="Cambria"/>
          <w:szCs w:val="24"/>
        </w:rPr>
        <w:t>que:</w:t>
      </w:r>
    </w:p>
    <w:p>
      <w:pPr>
        <w:pStyle w:val="Corpodetexto3"/>
        <w:numPr>
          <w:ilvl w:val="3"/>
          <w:numId w:val="20"/>
        </w:numPr>
        <w:tabs>
          <w:tab w:val="left" w:pos="851"/>
        </w:tabs>
        <w:ind w:left="0" w:firstLine="0"/>
        <w:jc w:val="both"/>
        <w:rPr>
          <w:rFonts w:ascii="Cambria" w:hAnsi="Cambria"/>
          <w:szCs w:val="24"/>
        </w:rPr>
      </w:pPr>
      <w:r>
        <w:rPr>
          <w:rFonts w:ascii="Cambria" w:hAnsi="Cambria"/>
          <w:szCs w:val="24"/>
        </w:rPr>
        <w:t xml:space="preserve">Esteja regularmente estabelecida neste País, credenciados junto à plataforma </w:t>
      </w:r>
      <w:hyperlink r:id="rId10" w:history="1">
        <w:r>
          <w:rPr>
            <w:rStyle w:val="Hyperlink"/>
            <w:rFonts w:ascii="Cambria" w:hAnsi="Cambria"/>
            <w:color w:val="auto"/>
            <w:szCs w:val="24"/>
          </w:rPr>
          <w:t>www.compras.gov.br</w:t>
        </w:r>
      </w:hyperlink>
      <w:r>
        <w:rPr>
          <w:rFonts w:ascii="Cambria" w:hAnsi="Cambria"/>
          <w:szCs w:val="24"/>
        </w:rPr>
        <w:t>, cadastrados ou não no Cadastro de Fornecedores da Prefeitura Municipal de Miraíma/CE e que satisfaçam a todas as condições da legislação em vigor, deste edital;</w:t>
      </w:r>
    </w:p>
    <w:p>
      <w:pPr>
        <w:pStyle w:val="Corpodetexto3"/>
        <w:numPr>
          <w:ilvl w:val="3"/>
          <w:numId w:val="20"/>
        </w:numPr>
        <w:tabs>
          <w:tab w:val="left" w:pos="851"/>
        </w:tabs>
        <w:ind w:left="0" w:firstLine="0"/>
        <w:jc w:val="both"/>
        <w:rPr>
          <w:rFonts w:ascii="Cambria" w:hAnsi="Cambria"/>
          <w:szCs w:val="24"/>
        </w:rPr>
      </w:pPr>
      <w:r>
        <w:rPr>
          <w:rFonts w:ascii="Cambria" w:hAnsi="Cambria"/>
          <w:szCs w:val="24"/>
        </w:rPr>
        <w:t>Possua objetivos sociais / ramo de atividade compatível com o objeto da licitação, devendo, ainda, cumprir a legislações próprias quanto à forma constituição do tipo de empresa.</w:t>
      </w:r>
    </w:p>
    <w:p>
      <w:pPr>
        <w:pStyle w:val="Corpodetexto3"/>
        <w:numPr>
          <w:ilvl w:val="3"/>
          <w:numId w:val="20"/>
        </w:numPr>
        <w:tabs>
          <w:tab w:val="left" w:pos="851"/>
        </w:tabs>
        <w:ind w:left="0" w:firstLine="0"/>
        <w:jc w:val="both"/>
        <w:rPr>
          <w:rFonts w:ascii="Cambria" w:hAnsi="Cambria"/>
          <w:szCs w:val="24"/>
        </w:rPr>
      </w:pPr>
      <w:r>
        <w:rPr>
          <w:rFonts w:ascii="Cambria" w:hAnsi="Cambria"/>
          <w:szCs w:val="24"/>
        </w:rPr>
        <w:t>Constituídas na forma de cooperativas, desde que atendidos os requisitos do art. 16 da Lei 14.133/2021 e da legislação específica correspondente, mediante declaração em campo próprio do sistema;</w:t>
      </w:r>
    </w:p>
    <w:p>
      <w:pPr>
        <w:pStyle w:val="Corpodetexto3"/>
        <w:numPr>
          <w:ilvl w:val="2"/>
          <w:numId w:val="20"/>
        </w:numPr>
        <w:tabs>
          <w:tab w:val="left" w:pos="709"/>
        </w:tabs>
        <w:ind w:left="0" w:firstLine="0"/>
        <w:jc w:val="both"/>
        <w:rPr>
          <w:rFonts w:ascii="Cambria" w:hAnsi="Cambria"/>
          <w:szCs w:val="24"/>
        </w:rPr>
      </w:pPr>
      <w:r>
        <w:rPr>
          <w:rFonts w:ascii="Cambria" w:hAnsi="Cambria"/>
          <w:bCs/>
          <w:szCs w:val="24"/>
        </w:rPr>
        <w:t xml:space="preserve">Tratando-se de </w:t>
      </w:r>
      <w:r>
        <w:rPr>
          <w:rFonts w:ascii="Cambria" w:hAnsi="Cambria"/>
          <w:szCs w:val="24"/>
        </w:rPr>
        <w:t>Microempresa – ME ou Empresa de Pequeno Porte - EPP</w:t>
      </w:r>
      <w:r>
        <w:rPr>
          <w:rFonts w:ascii="Cambria" w:hAnsi="Cambria"/>
          <w:bCs/>
          <w:szCs w:val="24"/>
        </w:rPr>
        <w:t xml:space="preserve"> e as cooperativas que se enquadrem nos termos do art. 34, da Lei Federal n° 11.488/2007, e que não se encontram em qualquer das exclusões relacionadas no § 4º do artigo 3º da Lei Complementar nº 123/2006, deverão declarar no Sistema o exercício do direito de preferência previsto em Lei.</w:t>
      </w:r>
    </w:p>
    <w:p>
      <w:pPr>
        <w:pStyle w:val="Corpodetexto3"/>
        <w:numPr>
          <w:ilvl w:val="2"/>
          <w:numId w:val="20"/>
        </w:numPr>
        <w:tabs>
          <w:tab w:val="left" w:pos="709"/>
        </w:tabs>
        <w:ind w:left="0" w:firstLine="0"/>
        <w:jc w:val="both"/>
        <w:rPr>
          <w:rFonts w:ascii="Cambria" w:hAnsi="Cambria"/>
          <w:szCs w:val="24"/>
        </w:rPr>
      </w:pPr>
      <w:r>
        <w:rPr>
          <w:rFonts w:ascii="Cambria" w:hAnsi="Cambria"/>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20"/>
        </w:numPr>
        <w:tabs>
          <w:tab w:val="left" w:pos="709"/>
        </w:tabs>
        <w:ind w:left="0" w:firstLine="0"/>
        <w:jc w:val="both"/>
        <w:rPr>
          <w:rFonts w:ascii="Cambria" w:hAnsi="Cambria"/>
          <w:b/>
          <w:szCs w:val="24"/>
        </w:rPr>
      </w:pPr>
      <w:r>
        <w:rPr>
          <w:rFonts w:ascii="Cambria" w:hAnsi="Cambria"/>
          <w:b/>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da plataforma, ainda que por terceiros.</w:t>
      </w:r>
    </w:p>
    <w:p>
      <w:pPr>
        <w:shd w:val="clear" w:color="auto" w:fill="FFFFFF"/>
        <w:tabs>
          <w:tab w:val="left" w:pos="284"/>
        </w:tabs>
        <w:jc w:val="both"/>
        <w:rPr>
          <w:rFonts w:ascii="Cambria" w:hAnsi="Cambria"/>
          <w:b/>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NÃO PODERÃO PARTICIPAR DESTA LICITAÇÃO:</w:t>
      </w:r>
    </w:p>
    <w:p>
      <w:pPr>
        <w:pStyle w:val="Corpodetexto3"/>
        <w:numPr>
          <w:ilvl w:val="2"/>
          <w:numId w:val="20"/>
        </w:numPr>
        <w:ind w:left="0" w:firstLine="0"/>
        <w:jc w:val="both"/>
        <w:rPr>
          <w:rFonts w:ascii="Cambria" w:hAnsi="Cambria"/>
          <w:bCs/>
          <w:szCs w:val="24"/>
        </w:rPr>
      </w:pPr>
      <w:r>
        <w:rPr>
          <w:rFonts w:ascii="Cambria" w:hAnsi="Cambria"/>
          <w:bCs/>
          <w:szCs w:val="24"/>
        </w:rPr>
        <w:t>O autor do anteprojeto, do projeto básico ou do projeto executivo, pessoa física ou jurídica, quando a licitação versar sobre obra, serviços ou fornecimento de bens a ele relacionados.</w:t>
      </w:r>
    </w:p>
    <w:p>
      <w:pPr>
        <w:pStyle w:val="Corpodetexto3"/>
        <w:numPr>
          <w:ilvl w:val="2"/>
          <w:numId w:val="20"/>
        </w:numPr>
        <w:ind w:left="0" w:firstLine="0"/>
        <w:jc w:val="both"/>
        <w:rPr>
          <w:rFonts w:ascii="Cambria" w:hAnsi="Cambria"/>
          <w:bCs/>
          <w:szCs w:val="24"/>
        </w:rPr>
      </w:pPr>
      <w:r>
        <w:rPr>
          <w:rFonts w:ascii="Cambria" w:hAnsi="Cambria"/>
          <w:bCs/>
          <w:szCs w:val="24"/>
        </w:rPr>
        <w:lastRenderedPageBreak/>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pStyle w:val="Corpodetexto3"/>
        <w:numPr>
          <w:ilvl w:val="2"/>
          <w:numId w:val="20"/>
        </w:numPr>
        <w:ind w:left="0" w:firstLine="0"/>
        <w:jc w:val="both"/>
        <w:rPr>
          <w:rFonts w:ascii="Cambria" w:hAnsi="Cambria"/>
          <w:bCs/>
          <w:szCs w:val="24"/>
        </w:rPr>
      </w:pPr>
      <w:r>
        <w:rPr>
          <w:rFonts w:ascii="Cambria" w:hAnsi="Cambria"/>
          <w:bCs/>
          <w:szCs w:val="24"/>
        </w:rPr>
        <w:t>Empresas reunidas em consórcio;</w:t>
      </w:r>
    </w:p>
    <w:p>
      <w:pPr>
        <w:pStyle w:val="Corpodetexto3"/>
        <w:numPr>
          <w:ilvl w:val="2"/>
          <w:numId w:val="20"/>
        </w:numPr>
        <w:ind w:left="0" w:firstLine="0"/>
        <w:jc w:val="both"/>
        <w:rPr>
          <w:rFonts w:ascii="Cambria" w:hAnsi="Cambria"/>
          <w:bCs/>
          <w:szCs w:val="24"/>
        </w:rPr>
      </w:pPr>
      <w:r>
        <w:rPr>
          <w:rFonts w:ascii="Cambria" w:hAnsi="Cambria"/>
          <w:bCs/>
          <w:szCs w:val="24"/>
        </w:rPr>
        <w:t>Organizações da Sociedade Civil de Interesse Público - OSCIP, atuando nessa condição (Acórdão nº 746/2014-TCU-Plenário);</w:t>
      </w:r>
    </w:p>
    <w:p>
      <w:pPr>
        <w:pStyle w:val="Corpodetexto3"/>
        <w:numPr>
          <w:ilvl w:val="2"/>
          <w:numId w:val="20"/>
        </w:numPr>
        <w:ind w:left="0" w:firstLine="0"/>
        <w:jc w:val="both"/>
        <w:rPr>
          <w:rFonts w:ascii="Cambria" w:hAnsi="Cambria"/>
          <w:bCs/>
          <w:szCs w:val="24"/>
        </w:rPr>
      </w:pPr>
      <w:r>
        <w:rPr>
          <w:rFonts w:ascii="Cambria" w:hAnsi="Cambria"/>
          <w:bCs/>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20"/>
        </w:numPr>
        <w:ind w:left="0" w:firstLine="0"/>
        <w:jc w:val="both"/>
        <w:rPr>
          <w:rFonts w:ascii="Cambria" w:hAnsi="Cambria"/>
          <w:bCs/>
          <w:szCs w:val="24"/>
        </w:rPr>
      </w:pPr>
      <w:r>
        <w:rPr>
          <w:rFonts w:ascii="Cambria" w:hAnsi="Cambria"/>
          <w:bCs/>
          <w:szCs w:val="24"/>
        </w:rPr>
        <w:t xml:space="preserve">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w:t>
      </w:r>
      <w:r>
        <w:rPr>
          <w:rFonts w:ascii="Cambria" w:hAnsi="Cambria"/>
          <w:szCs w:val="24"/>
        </w:rPr>
        <w:t>Sistema de Cadastramento Unificado de Fornecedores (SICAF), no cadastro Consolidado de Pessoa Jurídica do TCU, no Cadastro Nacional de Empresas Inidôneas (CEIS), no Cadastro Nacional de Empresas Punidas (CNEP)</w:t>
      </w:r>
      <w:r>
        <w:rPr>
          <w:rFonts w:ascii="Cambria" w:hAnsi="Cambria"/>
          <w:bCs/>
          <w:szCs w:val="24"/>
        </w:rPr>
        <w:t>.</w:t>
      </w:r>
    </w:p>
    <w:p>
      <w:pPr>
        <w:pStyle w:val="Corpodetexto3"/>
        <w:numPr>
          <w:ilvl w:val="2"/>
          <w:numId w:val="20"/>
        </w:numPr>
        <w:ind w:left="0" w:firstLine="0"/>
        <w:jc w:val="both"/>
        <w:rPr>
          <w:rFonts w:ascii="Cambria" w:hAnsi="Cambria"/>
          <w:bCs/>
          <w:szCs w:val="24"/>
        </w:rPr>
      </w:pPr>
      <w:r>
        <w:rPr>
          <w:rFonts w:ascii="Cambria" w:hAnsi="Cambria"/>
          <w:bCs/>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20"/>
        </w:numPr>
        <w:ind w:left="0" w:firstLine="0"/>
        <w:jc w:val="both"/>
        <w:rPr>
          <w:rFonts w:ascii="Cambria" w:hAnsi="Cambria"/>
          <w:bCs/>
          <w:szCs w:val="24"/>
        </w:rPr>
      </w:pPr>
      <w:r>
        <w:rPr>
          <w:rFonts w:ascii="Cambria" w:hAnsi="Cambria"/>
          <w:bCs/>
          <w:szCs w:val="24"/>
        </w:rPr>
        <w:t>Empresas controladoras, controladas ou coligadas, nos termos da Lei nº 6.404, de 15 de dezembro de 1976, concorrendo entre si;</w:t>
      </w:r>
    </w:p>
    <w:p>
      <w:pPr>
        <w:pStyle w:val="Corpodetexto3"/>
        <w:numPr>
          <w:ilvl w:val="2"/>
          <w:numId w:val="20"/>
        </w:numPr>
        <w:ind w:left="0" w:firstLine="0"/>
        <w:jc w:val="both"/>
        <w:rPr>
          <w:rFonts w:ascii="Cambria" w:hAnsi="Cambria"/>
          <w:bCs/>
          <w:szCs w:val="24"/>
        </w:rPr>
      </w:pPr>
      <w:r>
        <w:rPr>
          <w:rFonts w:ascii="Cambria" w:hAnsi="Cambria"/>
          <w:bCs/>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20"/>
        </w:numPr>
        <w:ind w:left="0" w:firstLine="0"/>
        <w:jc w:val="both"/>
        <w:rPr>
          <w:rFonts w:ascii="Cambria" w:hAnsi="Cambria"/>
          <w:bCs/>
          <w:szCs w:val="24"/>
        </w:rPr>
      </w:pPr>
      <w:r>
        <w:rPr>
          <w:rFonts w:ascii="Cambria" w:hAnsi="Cambria"/>
          <w:bCs/>
          <w:szCs w:val="24"/>
        </w:rPr>
        <w:t>Que não tenham providenciado o credenciamento junto a plataforma eletrônica de julgamento.</w:t>
      </w:r>
    </w:p>
    <w:p>
      <w:pPr>
        <w:pStyle w:val="Corpodetexto3"/>
        <w:numPr>
          <w:ilvl w:val="2"/>
          <w:numId w:val="20"/>
        </w:numPr>
        <w:ind w:left="0" w:firstLine="0"/>
        <w:jc w:val="both"/>
        <w:rPr>
          <w:rFonts w:ascii="Cambria" w:hAnsi="Cambria"/>
          <w:bCs/>
          <w:szCs w:val="24"/>
        </w:rPr>
      </w:pPr>
      <w:r>
        <w:rPr>
          <w:rFonts w:ascii="Cambria" w:hAnsi="Cambria"/>
          <w:bCs/>
          <w:szCs w:val="24"/>
        </w:rPr>
        <w:t>Que tenham em comum mesmo preposto ou procurador.</w:t>
      </w:r>
    </w:p>
    <w:p>
      <w:pPr>
        <w:pStyle w:val="Corpodetexto3"/>
        <w:numPr>
          <w:ilvl w:val="2"/>
          <w:numId w:val="20"/>
        </w:numPr>
        <w:ind w:left="0" w:firstLine="0"/>
        <w:jc w:val="both"/>
        <w:rPr>
          <w:rFonts w:ascii="Cambria" w:hAnsi="Cambria"/>
          <w:bCs/>
          <w:szCs w:val="24"/>
        </w:rPr>
      </w:pPr>
      <w:r>
        <w:rPr>
          <w:rFonts w:ascii="Cambria" w:hAnsi="Cambria"/>
          <w:bCs/>
          <w:szCs w:val="24"/>
        </w:rPr>
        <w:t>Os interessados que se encontrem em processo de falência decretada ou em processo de dissolução, de fusão, de cisão ou de incorporação.</w:t>
      </w:r>
    </w:p>
    <w:p>
      <w:pPr>
        <w:pStyle w:val="Corpodetexto3"/>
        <w:numPr>
          <w:ilvl w:val="2"/>
          <w:numId w:val="20"/>
        </w:numPr>
        <w:ind w:left="0" w:firstLine="0"/>
        <w:jc w:val="both"/>
        <w:rPr>
          <w:rFonts w:ascii="Cambria" w:hAnsi="Cambria"/>
          <w:bCs/>
          <w:szCs w:val="24"/>
        </w:rPr>
      </w:pPr>
      <w:r>
        <w:rPr>
          <w:rFonts w:ascii="Cambria" w:hAnsi="Cambria"/>
          <w:bCs/>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20"/>
        </w:numPr>
        <w:ind w:left="0" w:firstLine="0"/>
        <w:jc w:val="both"/>
        <w:rPr>
          <w:rFonts w:ascii="Cambria" w:hAnsi="Cambria"/>
          <w:bCs/>
          <w:szCs w:val="24"/>
        </w:rPr>
      </w:pPr>
      <w:r>
        <w:rPr>
          <w:rFonts w:ascii="Cambria" w:hAnsi="Cambria"/>
          <w:bCs/>
          <w:szCs w:val="24"/>
        </w:rPr>
        <w:t>Empresas cujos dirigentes, gerentes, sócios ou componentes de seu quadro técnico sejam funcionários ou empregados públicos da Administração Pública Municipal Direta ou Indireta.</w:t>
      </w:r>
    </w:p>
    <w:p>
      <w:pPr>
        <w:pStyle w:val="Corpodetexto3"/>
        <w:numPr>
          <w:ilvl w:val="2"/>
          <w:numId w:val="20"/>
        </w:numPr>
        <w:ind w:left="0" w:firstLine="0"/>
        <w:jc w:val="both"/>
        <w:rPr>
          <w:rFonts w:ascii="Cambria" w:hAnsi="Cambria"/>
          <w:bCs/>
          <w:szCs w:val="24"/>
        </w:rPr>
      </w:pPr>
      <w:r>
        <w:rPr>
          <w:rFonts w:ascii="Cambria" w:hAnsi="Cambria"/>
          <w:bCs/>
          <w:szCs w:val="24"/>
        </w:rPr>
        <w:t>Empresas Estrangeiras não autorizadas a funcionar no País.</w:t>
      </w:r>
    </w:p>
    <w:p>
      <w:pPr>
        <w:pStyle w:val="Corpodetexto3"/>
        <w:numPr>
          <w:ilvl w:val="2"/>
          <w:numId w:val="20"/>
        </w:numPr>
        <w:ind w:left="0" w:firstLine="0"/>
        <w:jc w:val="both"/>
        <w:rPr>
          <w:rFonts w:ascii="Cambria" w:hAnsi="Cambria"/>
          <w:bCs/>
          <w:szCs w:val="24"/>
        </w:rPr>
      </w:pPr>
      <w:r>
        <w:rPr>
          <w:rFonts w:ascii="Cambria" w:hAnsi="Cambria"/>
          <w:bCs/>
          <w:szCs w:val="24"/>
        </w:rPr>
        <w:t>Empresas cujo objeto social não seja pertinente e compatível com o objeto desta licitação.</w:t>
      </w:r>
    </w:p>
    <w:p>
      <w:pPr>
        <w:pStyle w:val="Ttulo1"/>
        <w:rPr>
          <w:rFonts w:ascii="Cambria" w:hAnsi="Cambria" w:cs="Times New Roman"/>
          <w:color w:val="auto"/>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DISPOSIÇÕES DE OBSERVÂNCIA OBRIGATÓRIA PELO PROPONENTE NO CURSO NO PROCEDIMENTO LICITATÓRIO.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proponente interessado na participação da presente licitação fica OBRIGADO a:</w:t>
      </w:r>
    </w:p>
    <w:p>
      <w:pPr>
        <w:pStyle w:val="PargrafodaLista"/>
        <w:numPr>
          <w:ilvl w:val="0"/>
          <w:numId w:val="36"/>
        </w:numPr>
        <w:tabs>
          <w:tab w:val="left" w:pos="426"/>
        </w:tabs>
        <w:suppressAutoHyphens/>
        <w:spacing w:after="0" w:line="240" w:lineRule="auto"/>
        <w:jc w:val="both"/>
        <w:rPr>
          <w:rFonts w:ascii="Cambria" w:hAnsi="Cambria"/>
          <w:sz w:val="24"/>
          <w:szCs w:val="24"/>
        </w:rPr>
      </w:pPr>
      <w:r>
        <w:rPr>
          <w:rFonts w:ascii="Cambria" w:hAnsi="Cambria"/>
          <w:sz w:val="24"/>
          <w:szCs w:val="24"/>
        </w:rPr>
        <w:t xml:space="preserve">Responsabilizar-se pela proposta, declarações, documentos e demais informações cadastradas ou anexadas a plataforma eletrônica </w:t>
      </w:r>
      <w:hyperlink r:id="rId11" w:history="1">
        <w:r>
          <w:rPr>
            <w:rStyle w:val="Hyperlink"/>
            <w:rFonts w:ascii="Cambria" w:hAnsi="Cambria"/>
            <w:color w:val="auto"/>
            <w:sz w:val="24"/>
            <w:szCs w:val="24"/>
          </w:rPr>
          <w:t>www.compras.gov.br</w:t>
        </w:r>
      </w:hyperlink>
      <w:r>
        <w:rPr>
          <w:rFonts w:ascii="Cambria" w:hAnsi="Cambria"/>
          <w:sz w:val="24"/>
          <w:szCs w:val="24"/>
        </w:rPr>
        <w:t>, bem como pelos registros realizados no CHAT durante o processamento e julgamento do certame;</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Realizar as declarações eletrônicas exigidas no cadastro da proposta na plataforma eletrônica </w:t>
      </w:r>
      <w:hyperlink r:id="rId12" w:history="1">
        <w:r>
          <w:rPr>
            <w:rStyle w:val="Hyperlink"/>
            <w:rFonts w:ascii="Cambria" w:hAnsi="Cambria"/>
            <w:color w:val="auto"/>
            <w:sz w:val="24"/>
            <w:szCs w:val="24"/>
          </w:rPr>
          <w:t>www.compras.gov.br</w:t>
        </w:r>
      </w:hyperlink>
      <w:r>
        <w:rPr>
          <w:rFonts w:ascii="Cambria" w:hAnsi="Cambria"/>
          <w:sz w:val="24"/>
          <w:szCs w:val="24"/>
        </w:rPr>
        <w:t>, sem qualquer falseamento da verdade;</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Remeter, no prazo estabelecido, EXCLUSIVAMENTE VIA SISTEMA, os documentos de habilitação, a proposta e, quando necessário, os documentos complementares solicitados no presente Edital e seus ANEXOS;</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Manter-se logado (online) ao </w:t>
      </w:r>
      <w:hyperlink r:id="rId13" w:history="1">
        <w:r>
          <w:rPr>
            <w:rStyle w:val="Hyperlink"/>
            <w:rFonts w:ascii="Cambria" w:hAnsi="Cambria"/>
            <w:color w:val="auto"/>
            <w:sz w:val="24"/>
            <w:szCs w:val="24"/>
          </w:rPr>
          <w:t>www.compras.gov.br</w:t>
        </w:r>
      </w:hyperlink>
      <w:r>
        <w:rPr>
          <w:rFonts w:ascii="Cambria" w:hAnsi="Cambria"/>
          <w:sz w:val="24"/>
          <w:szCs w:val="24"/>
        </w:rPr>
        <w:t>, acompanhando os trabalhos de processamento do certame durante toda a Sessão Pública Eletrônica, atendendo tempestivamente aos chamados do(a) Pregoeiro(a) via CHAT;</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Cumprir integralmente a proposta comercial cadastrada ou o lance final registrado no </w:t>
      </w:r>
      <w:hyperlink r:id="rId14"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fazer declaração falsa ou não apresentar documento falso;</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cometer fraude fiscal;</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formar conluio ou combinar proposta com concorrente(s);</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fraudar ou frustrar a concorrência com utilização de mecanismos eletrônicos de registro de propostas, lances e/ou documentos;</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Não indicar, para fins de garantia do anonimato da fase competitiva, qualquer tipo de caractere especial identificador da empresa no cadastro da proposta eletrônica no </w:t>
      </w:r>
      <w:hyperlink r:id="rId15"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Manter atualizadas todas as informações da empresa no SICAF que possam facilitar a comunicação, particularmente telefones e e-mail;</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praticar qualquer ato lesivo à Administração Pública contido no art. 5º da Lei nº 12.846/2013.</w:t>
      </w:r>
    </w:p>
    <w:p>
      <w:pPr>
        <w:pStyle w:val="PargrafodaLista"/>
        <w:numPr>
          <w:ilvl w:val="0"/>
          <w:numId w:val="36"/>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se enquadrar em nenhuma das proibições indicadas nas alíneas do item 4.2 deste Edital.</w:t>
      </w:r>
    </w:p>
    <w:p>
      <w:pPr>
        <w:pStyle w:val="PargrafodaLista"/>
        <w:tabs>
          <w:tab w:val="left" w:pos="284"/>
        </w:tabs>
        <w:ind w:left="0"/>
        <w:jc w:val="both"/>
        <w:rPr>
          <w:rFonts w:ascii="Cambria" w:hAnsi="Cambria"/>
          <w:b/>
          <w:bCs/>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 CREDENCIAMENTO DO PROPONENTE NA PLATAFORMA ELETRÔNICA.</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 Credenciamento junto ao </w:t>
      </w:r>
      <w:hyperlink r:id="rId16" w:history="1">
        <w:r>
          <w:rPr>
            <w:rStyle w:val="Hyperlink"/>
            <w:rFonts w:ascii="Cambria" w:hAnsi="Cambria"/>
            <w:color w:val="auto"/>
            <w:sz w:val="24"/>
            <w:szCs w:val="24"/>
          </w:rPr>
          <w:t>www.compras.gov.br</w:t>
        </w:r>
      </w:hyperlink>
      <w:r>
        <w:rPr>
          <w:rFonts w:ascii="Cambria" w:hAnsi="Cambria"/>
          <w:sz w:val="24"/>
          <w:szCs w:val="24"/>
        </w:rPr>
        <w:t>, que permite a participação dos interessados na modalidade licitatória Pregão, em sua forma eletrônica.</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credenciamento junto ao provedor do sistema implica a responsabilidade do proponente ou de seu representante legal e a presunção de sua capacidade técnica para realização das transações inerentes a este Pregão.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lastRenderedPageBreak/>
        <w:t>A perda da senha ou a quebra de sigilo deverão ser comunicadas imediatamente ao provedor do sistema para imediato bloqueio de acesso.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É de exclusiva responsabilidade do usuário o sigilo da senha, bem como seu uso em qualquer transação efetuada diretamente ou por seu representante, não cabendo à </w:t>
      </w:r>
      <w:r>
        <w:rPr>
          <w:rFonts w:ascii="Cambria" w:hAnsi="Cambria"/>
          <w:b/>
          <w:bCs/>
          <w:sz w:val="24"/>
          <w:szCs w:val="24"/>
        </w:rPr>
        <w:t xml:space="preserve">PREFEITURA MUNICIPAL DE MIRAÍMA/CE </w:t>
      </w:r>
      <w:r>
        <w:rPr>
          <w:rFonts w:ascii="Cambria" w:hAnsi="Cambria"/>
          <w:sz w:val="24"/>
          <w:szCs w:val="24"/>
        </w:rPr>
        <w:t xml:space="preserve">ou ao </w:t>
      </w:r>
      <w:hyperlink r:id="rId17" w:history="1">
        <w:r>
          <w:rPr>
            <w:rStyle w:val="Hyperlink"/>
            <w:rFonts w:ascii="Cambria" w:hAnsi="Cambria"/>
            <w:color w:val="auto"/>
            <w:sz w:val="24"/>
            <w:szCs w:val="24"/>
          </w:rPr>
          <w:t>www.compras.gov.br</w:t>
        </w:r>
      </w:hyperlink>
      <w:r>
        <w:rPr>
          <w:rFonts w:ascii="Cambria" w:hAnsi="Cambria"/>
          <w:sz w:val="24"/>
          <w:szCs w:val="24"/>
        </w:rPr>
        <w:t xml:space="preserve"> , a responsabilidade por eventuais danos decorrentes do seu uso indevido, ainda que por terceiros. </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5509"/>
        </w:tabs>
        <w:rPr>
          <w:rFonts w:ascii="Cambria" w:hAnsi="Cambria"/>
          <w:lang w:eastAsia="ar-SA"/>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PARÂMETROS DOS DOCUMENTOS A SEREM APRESENTADOS NO PROCEDIMENTO.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Cada proponente deverá apresentar através do sistema </w:t>
      </w:r>
      <w:hyperlink r:id="rId18" w:history="1">
        <w:r>
          <w:rPr>
            <w:rStyle w:val="Hyperlink"/>
            <w:rFonts w:ascii="Cambria" w:hAnsi="Cambria"/>
            <w:color w:val="auto"/>
            <w:sz w:val="24"/>
            <w:szCs w:val="24"/>
          </w:rPr>
          <w:t>www.compras.gov.br</w:t>
        </w:r>
      </w:hyperlink>
      <w:r>
        <w:rPr>
          <w:rFonts w:ascii="Cambria" w:hAnsi="Cambria"/>
          <w:sz w:val="24"/>
          <w:szCs w:val="24"/>
        </w:rPr>
        <w:t xml:space="preserve"> os documentos exigidos inicialmente por meio da internet, sendo:</w:t>
      </w:r>
    </w:p>
    <w:p>
      <w:pPr>
        <w:pStyle w:val="WW-NormalWeb"/>
        <w:keepLines/>
        <w:widowControl w:val="0"/>
        <w:spacing w:before="0" w:after="0"/>
        <w:ind w:firstLine="708"/>
        <w:jc w:val="both"/>
        <w:rPr>
          <w:rFonts w:ascii="Cambria" w:hAnsi="Cambria"/>
          <w:szCs w:val="24"/>
        </w:rPr>
      </w:pPr>
      <w:r>
        <w:rPr>
          <w:rFonts w:ascii="Cambria" w:hAnsi="Cambria"/>
          <w:szCs w:val="24"/>
        </w:rPr>
        <w:t>a) a Proposta de Preços e seus ANEXOS;</w:t>
      </w:r>
    </w:p>
    <w:p>
      <w:pPr>
        <w:pStyle w:val="WW-NormalWeb"/>
        <w:keepLines/>
        <w:widowControl w:val="0"/>
        <w:spacing w:before="0" w:after="0"/>
        <w:ind w:left="708"/>
        <w:jc w:val="both"/>
        <w:rPr>
          <w:rFonts w:ascii="Cambria" w:hAnsi="Cambria"/>
          <w:szCs w:val="24"/>
        </w:rPr>
      </w:pPr>
      <w:r>
        <w:rPr>
          <w:rFonts w:ascii="Cambria" w:hAnsi="Cambria"/>
          <w:szCs w:val="24"/>
        </w:rPr>
        <w:t>b) os Documentos de Habilitação;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documentos, em formato de arquivo, a serem enviados via internet somente poderão ter as extensões *.doc, *.xls, ou *.pdf.</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jc w:val="right"/>
        <w:rPr>
          <w:rFonts w:ascii="Cambria" w:hAnsi="Cambria"/>
          <w:b/>
          <w:bCs/>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PROPOSTA DE PREÇOS</w:t>
      </w: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FORMALIDADES QUANTO A PROPOSTA DE PREÇOS: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 Proposta de Preços, sob pena de desclassificação, deverá ser elaborada conforme o anexo 02 deste instrumento, em papel timbrado da proponente, estando, ainda, devidamente assinada e sendo enviada exclusivamente por meio da plataforma do </w:t>
      </w:r>
      <w:hyperlink r:id="rId19" w:history="1">
        <w:r>
          <w:rPr>
            <w:rStyle w:val="Hyperlink"/>
            <w:rFonts w:ascii="Cambria" w:hAnsi="Cambria"/>
            <w:color w:val="auto"/>
            <w:sz w:val="24"/>
            <w:szCs w:val="24"/>
          </w:rPr>
          <w:t>www.compras.gov.br</w:t>
        </w:r>
      </w:hyperlink>
      <w:r>
        <w:rPr>
          <w:rFonts w:ascii="Cambria" w:hAnsi="Cambria"/>
          <w:sz w:val="24"/>
          <w:szCs w:val="24"/>
        </w:rPr>
        <w:t>, caracterizando o item proposto no campo discriminado, em conformidade com o Termo de Referência – anexo 01 do Edital.</w:t>
      </w:r>
    </w:p>
    <w:p>
      <w:pPr>
        <w:jc w:val="both"/>
        <w:rPr>
          <w:rFonts w:ascii="Cambria" w:hAnsi="Cambria"/>
          <w:bCs/>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DO CADASTRAMENTO DA PROPOSTA DE PREÇOS: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 participação neste certame licitatório dar-se-á pela utilização da senha de acesso individual a plataforma eletrônica </w:t>
      </w:r>
      <w:hyperlink r:id="rId20" w:history="1">
        <w:r>
          <w:rPr>
            <w:rStyle w:val="Hyperlink"/>
            <w:rFonts w:ascii="Cambria" w:hAnsi="Cambria"/>
            <w:color w:val="auto"/>
            <w:sz w:val="24"/>
            <w:szCs w:val="24"/>
          </w:rPr>
          <w:t>www.compras.gov.br</w:t>
        </w:r>
      </w:hyperlink>
      <w:r>
        <w:rPr>
          <w:rFonts w:ascii="Cambria" w:hAnsi="Cambria"/>
          <w:sz w:val="24"/>
          <w:szCs w:val="24"/>
        </w:rPr>
        <w:t xml:space="preserve"> de cada proponente, mediante prévio cadastro da proposta até a data e horário previstos para abertura da sessão do certame.</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Nos termos do art. 63, da Lei 14.133/2021, o proponente DEVERÁ, OBRIGATÓRIA E PREVIAMENTE, registrar sua proposta de preços (inicial) na plataforma do </w:t>
      </w:r>
      <w:hyperlink r:id="rId21"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Até a abertura da sessão do certame, o proponente poderá livremente retirar, alterar ou substituir a proposta anteriormente cadastrada. </w:t>
      </w:r>
      <w:r>
        <w:rPr>
          <w:rFonts w:ascii="Cambria" w:hAnsi="Cambria"/>
          <w:b/>
          <w:bCs/>
          <w:sz w:val="24"/>
          <w:szCs w:val="24"/>
          <w:u w:val="single"/>
        </w:rPr>
        <w:t>Depois da data e horário de abertura da Sessão, não caberá qualquer alteração ou desistência de proposta.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execução do objeto.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No momento do cadastro da proposta comercial deverá o proponente, realizar as seguintes DECLARAÇÕES ELETRÔNICAS, disponíveis no próprio Sistema (conforme o caso):</w:t>
      </w:r>
    </w:p>
    <w:p>
      <w:pPr>
        <w:pStyle w:val="PargrafodaLista"/>
        <w:numPr>
          <w:ilvl w:val="2"/>
          <w:numId w:val="37"/>
        </w:numPr>
        <w:tabs>
          <w:tab w:val="left" w:pos="426"/>
          <w:tab w:val="left" w:pos="851"/>
        </w:tabs>
        <w:suppressAutoHyphens/>
        <w:spacing w:after="0" w:line="240" w:lineRule="auto"/>
        <w:jc w:val="both"/>
        <w:rPr>
          <w:rFonts w:ascii="Cambria" w:hAnsi="Cambria"/>
          <w:sz w:val="24"/>
          <w:szCs w:val="24"/>
        </w:rPr>
      </w:pPr>
      <w:r>
        <w:rPr>
          <w:rFonts w:ascii="Cambria" w:hAnsi="Cambria"/>
          <w:sz w:val="24"/>
          <w:szCs w:val="24"/>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que está ciente e concorda com as condições contidas no Edital e seus ANEXOS, bem como de que cumpre plenamente os requisitos de habilitação definidos no edital;</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que até a presente data inexistem fatos impeditivos para a habilitação no presente processo licitatório, ciente da obrigatoriedade de declarar ocorrências posteriores;</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que a proposta foi elaborada de forma independente, nos termos da Instrução Normativa SLTI/MP nº 2, de 16 de setembro de 2009;</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no caso de Microempresa - ME, Empresas de Pequeno Porte - EPP e equiparadas, que atende aos requisitos do art. 3º da LC nº 123/2006, para fazer jus aos benefícios previstos nessa lei;</w:t>
      </w:r>
    </w:p>
    <w:p>
      <w:pPr>
        <w:pStyle w:val="PargrafodaLista"/>
        <w:numPr>
          <w:ilvl w:val="2"/>
          <w:numId w:val="37"/>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As declarações mencionadas no subitem anterior serão visualizadas pelo(a) Pregoeiro(a) na fase de habilitação, quando serão anexadas aos autos do processo de contratação juntamente com a documentação de habilitação, não havendo necessidade de envio dos arquivos pelo Sistema </w:t>
      </w:r>
      <w:hyperlink r:id="rId22" w:history="1">
        <w:r>
          <w:rPr>
            <w:rStyle w:val="Hyperlink"/>
            <w:rFonts w:ascii="Cambria" w:hAnsi="Cambria"/>
            <w:color w:val="auto"/>
            <w:sz w:val="24"/>
            <w:szCs w:val="24"/>
          </w:rPr>
          <w:t>www.compras.gov.br</w:t>
        </w:r>
      </w:hyperlink>
      <w:r>
        <w:rPr>
          <w:rFonts w:ascii="Cambria" w:hAnsi="Cambria"/>
          <w:sz w:val="24"/>
          <w:szCs w:val="24"/>
        </w:rPr>
        <w:t xml:space="preserve">. </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Para cadastramento da proposta no sistema </w:t>
      </w:r>
      <w:hyperlink r:id="rId23" w:history="1">
        <w:r>
          <w:rPr>
            <w:rStyle w:val="Hyperlink"/>
            <w:rFonts w:ascii="Cambria" w:hAnsi="Cambria"/>
            <w:color w:val="auto"/>
            <w:sz w:val="24"/>
            <w:szCs w:val="24"/>
          </w:rPr>
          <w:t>www.compras.gov.br</w:t>
        </w:r>
      </w:hyperlink>
      <w:r>
        <w:rPr>
          <w:rFonts w:ascii="Cambria" w:hAnsi="Cambria"/>
          <w:sz w:val="24"/>
          <w:szCs w:val="24"/>
        </w:rPr>
        <w:t xml:space="preserve">, o licitante deverá se ater ao critério de julgamento definido ao presente certame, conforme definição no quadro de resumo constante do início deste edital, podendo ser:  </w:t>
      </w:r>
    </w:p>
    <w:p>
      <w:pPr>
        <w:pStyle w:val="PargrafodaLista"/>
        <w:numPr>
          <w:ilvl w:val="3"/>
          <w:numId w:val="20"/>
        </w:numPr>
        <w:tabs>
          <w:tab w:val="left" w:pos="426"/>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Para cadastramento da proposta e para a oferta dos lances no sistema </w:t>
      </w:r>
      <w:hyperlink r:id="rId24" w:history="1">
        <w:r>
          <w:rPr>
            <w:rStyle w:val="Hyperlink"/>
            <w:rFonts w:ascii="Cambria" w:hAnsi="Cambria"/>
            <w:color w:val="auto"/>
            <w:sz w:val="24"/>
            <w:szCs w:val="24"/>
          </w:rPr>
          <w:t>www.compras.gov.br</w:t>
        </w:r>
      </w:hyperlink>
      <w:r>
        <w:rPr>
          <w:rFonts w:ascii="Cambria" w:hAnsi="Cambria"/>
          <w:sz w:val="24"/>
          <w:szCs w:val="24"/>
        </w:rPr>
        <w:t xml:space="preserve">, o licitante deverá se ater ao critério de julgamento definido ao presente certame, conforme definição no quadro de resumo constante do início deste edital, podendo o julgamento ser realizado </w:t>
      </w:r>
      <w:r>
        <w:rPr>
          <w:rFonts w:ascii="Cambria" w:hAnsi="Cambria"/>
          <w:b/>
          <w:bCs/>
          <w:sz w:val="24"/>
          <w:szCs w:val="24"/>
        </w:rPr>
        <w:t>POR GRUPO</w:t>
      </w:r>
      <w:r>
        <w:rPr>
          <w:rFonts w:ascii="Cambria" w:hAnsi="Cambria"/>
          <w:sz w:val="24"/>
          <w:szCs w:val="24"/>
        </w:rPr>
        <w:t xml:space="preserve">. Em ambos os casos, ao oferecer proposta e ofertar os lances no sistema </w:t>
      </w:r>
      <w:hyperlink r:id="rId25" w:history="1">
        <w:r>
          <w:rPr>
            <w:rStyle w:val="Hyperlink"/>
            <w:rFonts w:ascii="Cambria" w:hAnsi="Cambria"/>
            <w:color w:val="auto"/>
            <w:sz w:val="24"/>
            <w:szCs w:val="24"/>
          </w:rPr>
          <w:t>www.compras.gov.br</w:t>
        </w:r>
      </w:hyperlink>
      <w:r>
        <w:rPr>
          <w:rFonts w:ascii="Cambria" w:hAnsi="Cambria"/>
          <w:sz w:val="24"/>
          <w:szCs w:val="24"/>
        </w:rPr>
        <w:t xml:space="preserve"> o valor a ser observado pelo fornecedor refere-se ao PREÇO UNITÁRIO DO ITEM.</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Os lances serão de envio automático pelo sistema, respeitado o valor final mínimo estabelecido e o intervalo de que trata o subitem anterior.</w:t>
      </w:r>
    </w:p>
    <w:p>
      <w:pPr>
        <w:pStyle w:val="PargrafodaLista"/>
        <w:tabs>
          <w:tab w:val="left" w:pos="426"/>
        </w:tabs>
        <w:ind w:left="0"/>
        <w:jc w:val="both"/>
        <w:rPr>
          <w:rFonts w:ascii="Cambria" w:hAnsi="Cambria"/>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PRECAUÇÕES E COMPROMISSOS QUANTO A PROPOSTA DE PREÇOS: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registro de proposta de preços eletrônica, vinculada ao presente certame implica, independente de declaração expressa, na(o):</w:t>
      </w:r>
    </w:p>
    <w:p>
      <w:pPr>
        <w:pStyle w:val="PargrafodaLista"/>
        <w:numPr>
          <w:ilvl w:val="2"/>
          <w:numId w:val="38"/>
        </w:numPr>
        <w:tabs>
          <w:tab w:val="left" w:pos="426"/>
          <w:tab w:val="left" w:pos="851"/>
        </w:tabs>
        <w:suppressAutoHyphens/>
        <w:spacing w:after="0" w:line="240" w:lineRule="auto"/>
        <w:jc w:val="both"/>
        <w:rPr>
          <w:rFonts w:ascii="Cambria" w:hAnsi="Cambria"/>
          <w:sz w:val="24"/>
          <w:szCs w:val="24"/>
        </w:rPr>
      </w:pPr>
      <w:r>
        <w:rPr>
          <w:rFonts w:ascii="Cambria" w:hAnsi="Cambria"/>
          <w:sz w:val="24"/>
          <w:szCs w:val="24"/>
        </w:rPr>
        <w:t>aceitação de todas as condições estabelecidas neste Edital e seus ANEXOS;</w:t>
      </w:r>
    </w:p>
    <w:p>
      <w:pPr>
        <w:pStyle w:val="PargrafodaLista"/>
        <w:numPr>
          <w:ilvl w:val="2"/>
          <w:numId w:val="38"/>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 xml:space="preserve">garantia do cumprimento da proposta por prazo mínimo de </w:t>
      </w:r>
      <w:r>
        <w:rPr>
          <w:rFonts w:ascii="Cambria" w:hAnsi="Cambria"/>
          <w:b/>
          <w:bCs/>
          <w:sz w:val="24"/>
          <w:szCs w:val="24"/>
        </w:rPr>
        <w:t>60 (sessenta) dias</w:t>
      </w:r>
      <w:r>
        <w:rPr>
          <w:rFonts w:ascii="Cambria" w:hAnsi="Cambria"/>
          <w:sz w:val="24"/>
          <w:szCs w:val="24"/>
        </w:rPr>
        <w:t>, contados da data de abertura da sessão pública estabelecida no preâmbulo deste Edital;</w:t>
      </w:r>
    </w:p>
    <w:p>
      <w:pPr>
        <w:pStyle w:val="PargrafodaLista"/>
        <w:numPr>
          <w:ilvl w:val="2"/>
          <w:numId w:val="38"/>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compromisso do proponente para com o rigoroso cumprimento das especificações técnicas, prazos e condições fixadas no Termo de Referência (anexo 01);</w:t>
      </w:r>
    </w:p>
    <w:p>
      <w:pPr>
        <w:pStyle w:val="PargrafodaLista"/>
        <w:numPr>
          <w:ilvl w:val="2"/>
          <w:numId w:val="38"/>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38"/>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submissão às sanções administrativas previstas neste Edital e seus ANEXOS;</w:t>
      </w:r>
    </w:p>
    <w:p>
      <w:pPr>
        <w:pStyle w:val="PargrafodaLista"/>
        <w:numPr>
          <w:ilvl w:val="2"/>
          <w:numId w:val="38"/>
        </w:numPr>
        <w:tabs>
          <w:tab w:val="left" w:pos="426"/>
          <w:tab w:val="left" w:pos="851"/>
        </w:tabs>
        <w:suppressAutoHyphens/>
        <w:spacing w:after="0" w:line="240" w:lineRule="auto"/>
        <w:ind w:left="567" w:firstLine="0"/>
        <w:jc w:val="both"/>
        <w:rPr>
          <w:rFonts w:ascii="Cambria" w:hAnsi="Cambria"/>
          <w:sz w:val="24"/>
          <w:szCs w:val="24"/>
        </w:rPr>
      </w:pPr>
      <w:r>
        <w:rPr>
          <w:rFonts w:ascii="Cambria" w:hAnsi="Cambria"/>
          <w:sz w:val="24"/>
          <w:szCs w:val="24"/>
        </w:rPr>
        <w:t>obrigação de participar ativamente do certame (ON-LINE) até a sua conclusão, encaminhando toda a documentação solicitada e/ou prestando as informações e esclarecimentos solicitados pelo(a) Pregoeiro(a).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No momento do cadastro ou registro da proposta comercial eletrônica, o proponente deverá atentar para o fato de que, por razões de limitações técnicas das especificações dos materiais constantes no catálogo do </w:t>
      </w:r>
      <w:hyperlink r:id="rId26" w:history="1">
        <w:r>
          <w:rPr>
            <w:rStyle w:val="Hyperlink"/>
            <w:rFonts w:ascii="Cambria" w:hAnsi="Cambria"/>
            <w:color w:val="auto"/>
            <w:sz w:val="24"/>
            <w:szCs w:val="24"/>
          </w:rPr>
          <w:t>www.compras.gov.br</w:t>
        </w:r>
      </w:hyperlink>
      <w:r>
        <w:rPr>
          <w:rFonts w:ascii="Cambria" w:hAnsi="Cambria"/>
          <w:sz w:val="24"/>
          <w:szCs w:val="24"/>
        </w:rPr>
        <w:t>, as ESPECIFICAÇÕES TÉCNICAS COMPLETAS DO OBJETO LICITADO, para efeito de formulação da proposta de preços, serão sempre aquelas constantes do Termo de Referência (anexo 01).</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Após a abertura da sessão pública eletrônica do presente certame, não cabe em nenhuma hipótese desistência de proposta.</w:t>
      </w:r>
    </w:p>
    <w:p>
      <w:pPr>
        <w:tabs>
          <w:tab w:val="left" w:pos="426"/>
        </w:tabs>
        <w:jc w:val="both"/>
        <w:rPr>
          <w:rFonts w:ascii="Cambria" w:hAnsi="Cambria"/>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DOS PREÇOS, CLASSIFICAÇÃO E CRITÉRIO DE JULGAMENTO DA PROPOSTA: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lastRenderedPageBreak/>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será possível a oferta de quantidades inferiores às previstas no Termo de Referência anexo ao edital.</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preços propostos deverão estar de acordo com o quantitativo do bem cotado.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Pregoeiro(a) que, dentro da situação concreta, poderá agir no sentido de prospectar maior celeridade e eficiência ao julgamento.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Ocorrendo discrepância entre o preço unitário e total, prevalecerá aquele lançado no sistema e utilizado para classificação das Propostas de Preços, devendo o(a) Pregoeiro(a) proceder às correções necessárias.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Havendo discrepância entre a especificação dos itens do edital e seus ANEXOS e aquelas lançadas no sistema, prevalecerão as especificações do edital e seus ANEXOS.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que compõem o lote deverá ser inferior ou igual àquele limite. </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 critério de julgamento do processo licitatório será aquele constante da parte específica do procedimento. </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Não serão adjudicadas Propostas de Preços com valores superiores à média dos preços unitários e totais estimados para a contratação, os quais se encontram definidos no Termo de Referência.</w:t>
      </w:r>
    </w:p>
    <w:p>
      <w:pPr>
        <w:pStyle w:val="PargrafodaLista"/>
        <w:numPr>
          <w:ilvl w:val="2"/>
          <w:numId w:val="20"/>
        </w:numPr>
        <w:tabs>
          <w:tab w:val="left" w:pos="426"/>
          <w:tab w:val="left" w:pos="709"/>
        </w:tabs>
        <w:suppressAutoHyphens/>
        <w:spacing w:after="0" w:line="240" w:lineRule="auto"/>
        <w:ind w:left="0" w:firstLine="0"/>
        <w:jc w:val="both"/>
        <w:rPr>
          <w:rFonts w:ascii="Cambria" w:hAnsi="Cambria"/>
          <w:sz w:val="24"/>
          <w:szCs w:val="24"/>
        </w:rPr>
      </w:pPr>
      <w:r>
        <w:rPr>
          <w:rFonts w:ascii="Cambria" w:hAnsi="Cambria"/>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O(a) Pregoeiro(a)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Será desclassificada a Proposta de Preços apresentada em desconformidade com este item.</w:t>
      </w:r>
    </w:p>
    <w:p>
      <w:pPr>
        <w:pStyle w:val="WW-NormalWeb"/>
        <w:keepLines/>
        <w:widowControl w:val="0"/>
        <w:spacing w:before="0" w:after="0"/>
        <w:jc w:val="both"/>
        <w:rPr>
          <w:rFonts w:ascii="Cambria" w:hAnsi="Cambria"/>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DOS DOCUMENTOS DE HABILITAÇÃO</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Os documentos de habilitação previstos no Termo de Referência serão exigidos apenas do licitante cuja proposta tenha sido aceita na fase de julgamento. </w:t>
      </w:r>
    </w:p>
    <w:p>
      <w:pPr>
        <w:tabs>
          <w:tab w:val="left" w:pos="426"/>
        </w:tabs>
        <w:jc w:val="both"/>
        <w:rPr>
          <w:rFonts w:ascii="Cambria" w:hAnsi="Cambria"/>
          <w:sz w:val="24"/>
          <w:szCs w:val="24"/>
        </w:rPr>
      </w:pPr>
      <w:r>
        <w:rPr>
          <w:rFonts w:ascii="Cambria" w:hAnsi="Cambria"/>
          <w:sz w:val="24"/>
          <w:szCs w:val="24"/>
        </w:rPr>
        <w:t>8.1.1. Os documentos exigidos para fins de comprovação da habilitação jurídica, fiscal, social e trabalhista e econômico-ﬁnanceira, poderão ser substituídos pelo registro cadastral no SICAF.</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w:t>
      </w:r>
      <w:hyperlink r:id="rId27" w:history="1">
        <w:r>
          <w:rPr>
            <w:rStyle w:val="Hyperlink"/>
            <w:rFonts w:ascii="Cambria" w:hAnsi="Cambria"/>
            <w:color w:val="auto"/>
            <w:sz w:val="24"/>
            <w:szCs w:val="24"/>
          </w:rPr>
          <w:t>www.compras.gov.br</w:t>
        </w:r>
      </w:hyperlink>
      <w:r>
        <w:rPr>
          <w:rFonts w:ascii="Cambria" w:hAnsi="Cambria"/>
          <w:sz w:val="24"/>
          <w:szCs w:val="24"/>
        </w:rPr>
        <w:t xml:space="preserve">, quando solicitados pelo Agente de Contratação. </w:t>
      </w:r>
    </w:p>
    <w:p>
      <w:pPr>
        <w:tabs>
          <w:tab w:val="left" w:pos="426"/>
        </w:tabs>
        <w:jc w:val="both"/>
        <w:rPr>
          <w:rFonts w:ascii="Cambria" w:hAnsi="Cambria"/>
          <w:sz w:val="24"/>
          <w:szCs w:val="24"/>
        </w:rPr>
      </w:pPr>
      <w:r>
        <w:rPr>
          <w:rFonts w:ascii="Cambria" w:hAnsi="Cambria"/>
          <w:sz w:val="24"/>
          <w:szCs w:val="24"/>
        </w:rPr>
        <w:t xml:space="preserve">8.2.1. Os documentos deverão ser apresentados em formato digital, no prazo de até 02 (duas) horas, contados da convocação efetuada pelo Agente de Contratação.  </w:t>
      </w:r>
    </w:p>
    <w:p>
      <w:pPr>
        <w:tabs>
          <w:tab w:val="left" w:pos="426"/>
        </w:tabs>
        <w:jc w:val="both"/>
        <w:rPr>
          <w:rFonts w:ascii="Cambria" w:hAnsi="Cambria"/>
          <w:sz w:val="24"/>
          <w:szCs w:val="24"/>
        </w:rPr>
      </w:pPr>
      <w:r>
        <w:rPr>
          <w:rFonts w:ascii="Cambria" w:hAnsi="Cambria"/>
          <w:sz w:val="24"/>
          <w:szCs w:val="24"/>
        </w:rPr>
        <w:t>8.2.1.1. É facultado ao Pregoeiro prorrogar o prazo estabelecido acima, por igual período, nas seguintes situações:</w:t>
      </w:r>
    </w:p>
    <w:p>
      <w:pPr>
        <w:tabs>
          <w:tab w:val="left" w:pos="426"/>
        </w:tabs>
        <w:jc w:val="both"/>
        <w:rPr>
          <w:rFonts w:ascii="Cambria" w:hAnsi="Cambria"/>
          <w:sz w:val="24"/>
          <w:szCs w:val="24"/>
        </w:rPr>
      </w:pPr>
      <w:r>
        <w:rPr>
          <w:rFonts w:ascii="Cambria" w:hAnsi="Cambria"/>
          <w:sz w:val="24"/>
          <w:szCs w:val="24"/>
        </w:rPr>
        <w:t>a) por solicitação do licitante, mediante justificativa aceita pelo Pregoeiro;</w:t>
      </w:r>
    </w:p>
    <w:p>
      <w:pPr>
        <w:tabs>
          <w:tab w:val="left" w:pos="426"/>
        </w:tabs>
        <w:jc w:val="both"/>
        <w:rPr>
          <w:rFonts w:ascii="Cambria" w:hAnsi="Cambria"/>
          <w:sz w:val="24"/>
          <w:szCs w:val="24"/>
        </w:rPr>
      </w:pPr>
      <w:r>
        <w:rPr>
          <w:rFonts w:ascii="Cambria" w:hAnsi="Cambria"/>
          <w:sz w:val="24"/>
          <w:szCs w:val="24"/>
        </w:rPr>
        <w:t>b) de ofício, a critério do Pregoeiro, quando constatado que o prazo estabelecido não é suficiente para o envio dos documentos exigidos.</w:t>
      </w:r>
    </w:p>
    <w:p>
      <w:pPr>
        <w:tabs>
          <w:tab w:val="left" w:pos="426"/>
        </w:tabs>
        <w:jc w:val="both"/>
        <w:rPr>
          <w:rFonts w:ascii="Cambria" w:hAnsi="Cambria"/>
          <w:sz w:val="24"/>
          <w:szCs w:val="24"/>
        </w:rPr>
      </w:pPr>
      <w:r>
        <w:rPr>
          <w:rFonts w:ascii="Cambria" w:hAnsi="Cambria"/>
          <w:sz w:val="24"/>
          <w:szCs w:val="24"/>
        </w:rPr>
        <w:t xml:space="preserve">8.2.2. Os documentos remetidos por meio da opção “Enviar Anexo” do sistema  </w:t>
      </w:r>
      <w:hyperlink r:id="rId28" w:history="1">
        <w:r>
          <w:rPr>
            <w:rStyle w:val="Hyperlink"/>
            <w:rFonts w:ascii="Cambria" w:hAnsi="Cambria"/>
            <w:color w:val="auto"/>
            <w:sz w:val="24"/>
            <w:szCs w:val="24"/>
          </w:rPr>
          <w:t>www.compras.gov.br</w:t>
        </w:r>
      </w:hyperlink>
      <w:r>
        <w:rPr>
          <w:rFonts w:ascii="Cambria" w:hAnsi="Cambria"/>
          <w:sz w:val="24"/>
          <w:szCs w:val="24"/>
        </w:rPr>
        <w:t xml:space="preserve">, poderão ser solicitados em original ou por cópia autenticada, caso haja dúvida justificada, a qualquer momento, em prazo a ser estabelecido pelo Pregoeiro. </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 verificação pelo Pregoeiro em sítios eletrônicos oficiais de órgãos e entidades emissores de certidões constitui meio legal de prova para fins de habilitação. </w:t>
      </w:r>
    </w:p>
    <w:p>
      <w:pPr>
        <w:pStyle w:val="PargrafodaLista"/>
        <w:numPr>
          <w:ilvl w:val="1"/>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Após a apresentação dos documentos de habilitação, fica vedada a substituição ou a apresentação de novos documentos, salvo em sede de diligência, para: </w:t>
      </w:r>
    </w:p>
    <w:p>
      <w:pPr>
        <w:tabs>
          <w:tab w:val="left" w:pos="426"/>
        </w:tabs>
        <w:jc w:val="both"/>
        <w:rPr>
          <w:rFonts w:ascii="Cambria" w:hAnsi="Cambria"/>
          <w:sz w:val="24"/>
          <w:szCs w:val="24"/>
        </w:rPr>
      </w:pPr>
      <w:r>
        <w:rPr>
          <w:rFonts w:ascii="Cambria" w:hAnsi="Cambria"/>
          <w:sz w:val="24"/>
          <w:szCs w:val="24"/>
        </w:rPr>
        <w:t xml:space="preserve">8.4.1. Complementação de informações acerca dos documentos já apresentados pelos licitantes e desde que necessária para apurar fatos existentes à época da abertura do certame; </w:t>
      </w:r>
    </w:p>
    <w:p>
      <w:pPr>
        <w:tabs>
          <w:tab w:val="left" w:pos="426"/>
        </w:tabs>
        <w:jc w:val="both"/>
        <w:rPr>
          <w:rFonts w:ascii="Cambria" w:hAnsi="Cambria"/>
          <w:sz w:val="24"/>
          <w:szCs w:val="24"/>
        </w:rPr>
      </w:pPr>
      <w:r>
        <w:rPr>
          <w:rFonts w:ascii="Cambria" w:hAnsi="Cambria"/>
          <w:sz w:val="24"/>
          <w:szCs w:val="24"/>
        </w:rPr>
        <w:t>8.4.2. Atualização de documentos cuja validade tenha expirado após a data de recebimento das propostas.</w:t>
      </w:r>
    </w:p>
    <w:p>
      <w:pPr>
        <w:tabs>
          <w:tab w:val="left" w:pos="426"/>
        </w:tabs>
        <w:jc w:val="both"/>
        <w:rPr>
          <w:rFonts w:ascii="Cambria" w:hAnsi="Cambria"/>
          <w:sz w:val="24"/>
          <w:szCs w:val="24"/>
        </w:rPr>
      </w:pPr>
      <w:r>
        <w:rPr>
          <w:rFonts w:ascii="Cambria" w:hAnsi="Cambria"/>
          <w:sz w:val="24"/>
          <w:szCs w:val="24"/>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jc w:val="both"/>
        <w:rPr>
          <w:rFonts w:ascii="Cambria" w:hAnsi="Cambria"/>
          <w:sz w:val="24"/>
          <w:szCs w:val="24"/>
        </w:rPr>
      </w:pPr>
      <w:r>
        <w:rPr>
          <w:rFonts w:ascii="Cambria" w:hAnsi="Cambria"/>
          <w:sz w:val="24"/>
          <w:szCs w:val="24"/>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jc w:val="both"/>
        <w:rPr>
          <w:rFonts w:ascii="Cambria" w:hAnsi="Cambria"/>
          <w:sz w:val="24"/>
          <w:szCs w:val="24"/>
        </w:rPr>
      </w:pPr>
      <w:r>
        <w:rPr>
          <w:rFonts w:ascii="Cambria" w:hAnsi="Cambria"/>
          <w:sz w:val="24"/>
          <w:szCs w:val="24"/>
        </w:rPr>
        <w:t>8.7. Somente serão disponibilizados para acesso público os documentos de habilitação do licitante cuja proposta atenda ao edital de licitação, após concluídos os procedimentos de que trata o subitem anterior.</w:t>
      </w:r>
    </w:p>
    <w:p>
      <w:pPr>
        <w:tabs>
          <w:tab w:val="left" w:pos="426"/>
        </w:tabs>
        <w:jc w:val="both"/>
        <w:rPr>
          <w:rFonts w:ascii="Cambria" w:hAnsi="Cambria"/>
          <w:sz w:val="24"/>
          <w:szCs w:val="24"/>
        </w:rPr>
      </w:pPr>
      <w:r>
        <w:rPr>
          <w:rFonts w:ascii="Cambria" w:hAnsi="Cambria"/>
          <w:sz w:val="24"/>
          <w:szCs w:val="24"/>
        </w:rPr>
        <w:t>8.8.A comprovação de regularidade fiscal e trabalhista dos beneficiários da Lei Complementar n° 123/06 somente será exigida para a adjudicação, e não como condição para participação na licitação.</w:t>
      </w:r>
    </w:p>
    <w:p>
      <w:pPr>
        <w:tabs>
          <w:tab w:val="left" w:pos="426"/>
        </w:tabs>
        <w:jc w:val="both"/>
        <w:rPr>
          <w:rFonts w:ascii="Cambria" w:hAnsi="Cambria"/>
          <w:sz w:val="24"/>
          <w:szCs w:val="24"/>
        </w:rPr>
      </w:pPr>
      <w:r>
        <w:rPr>
          <w:rFonts w:ascii="Cambria" w:hAnsi="Cambria"/>
          <w:sz w:val="24"/>
          <w:szCs w:val="24"/>
        </w:rPr>
        <w:t xml:space="preserve">8.8.1. Havendo alguma restrição na comprovação da regularidade fiscal e trabalhista, será assegurado o prazo de 05 (cinco) dias úteis, cujo termo inicial corresponderá ao momento </w:t>
      </w:r>
      <w:r>
        <w:rPr>
          <w:rFonts w:ascii="Cambria" w:hAnsi="Cambria"/>
          <w:sz w:val="24"/>
          <w:szCs w:val="24"/>
        </w:rPr>
        <w:lastRenderedPageBreak/>
        <w:t>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426"/>
        </w:tabs>
        <w:jc w:val="both"/>
        <w:rPr>
          <w:rFonts w:ascii="Cambria" w:hAnsi="Cambria"/>
          <w:sz w:val="24"/>
          <w:szCs w:val="24"/>
        </w:rPr>
      </w:pPr>
      <w:r>
        <w:rPr>
          <w:rFonts w:ascii="Cambria" w:hAnsi="Cambria"/>
          <w:sz w:val="24"/>
          <w:szCs w:val="24"/>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jc w:val="both"/>
        <w:rPr>
          <w:rFonts w:ascii="Cambria" w:hAnsi="Cambria"/>
          <w:sz w:val="24"/>
          <w:szCs w:val="24"/>
        </w:rPr>
      </w:pPr>
      <w:r>
        <w:rPr>
          <w:rFonts w:ascii="Cambria" w:hAnsi="Cambria"/>
          <w:sz w:val="24"/>
          <w:szCs w:val="24"/>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jc w:val="both"/>
        <w:rPr>
          <w:rFonts w:ascii="Cambria" w:hAnsi="Cambria"/>
          <w:sz w:val="24"/>
          <w:szCs w:val="24"/>
        </w:rPr>
      </w:pPr>
      <w:r>
        <w:rPr>
          <w:rFonts w:ascii="Cambria" w:hAnsi="Cambria"/>
          <w:sz w:val="24"/>
          <w:szCs w:val="24"/>
        </w:rPr>
        <w:t>8.9. Quando permitida a participação de empresas estrangeiras que não funcionem no País, as exigências de habilitação serão atendidas mediante documentos equivalentes, inicialmente apresentados em tradução livre.</w:t>
      </w:r>
    </w:p>
    <w:p>
      <w:pPr>
        <w:tabs>
          <w:tab w:val="left" w:pos="426"/>
        </w:tabs>
        <w:jc w:val="both"/>
        <w:rPr>
          <w:rFonts w:ascii="Cambria" w:hAnsi="Cambria"/>
          <w:sz w:val="24"/>
          <w:szCs w:val="24"/>
          <w:highlight w:val="yellow"/>
        </w:rPr>
      </w:pPr>
      <w:r>
        <w:rPr>
          <w:rFonts w:ascii="Cambria" w:hAnsi="Cambria"/>
          <w:sz w:val="24"/>
          <w:szCs w:val="24"/>
        </w:rPr>
        <w:t>8.9.1. Na hipótese de o licitante vencedor ser empresa estrangeira que não funcione no País, para ﬁns de assinatura do contrato, os documentos exigidos para a habilitação serão traduzidos por tradutor juramentado no País e apostilados nos termos do disposto no Decreto nº 8.660, de 29 de janeiro de 2016, ou de outro que venha a substituí-lo, ou consularizações pelos respectivos consulados ou embaixadas.</w:t>
      </w:r>
    </w:p>
    <w:p>
      <w:pPr>
        <w:tabs>
          <w:tab w:val="left" w:pos="426"/>
        </w:tabs>
        <w:jc w:val="both"/>
        <w:rPr>
          <w:rFonts w:ascii="Cambria" w:hAnsi="Cambria"/>
          <w:sz w:val="24"/>
          <w:szCs w:val="24"/>
        </w:rPr>
      </w:pPr>
      <w:r>
        <w:rPr>
          <w:rFonts w:ascii="Cambria" w:hAnsi="Cambria"/>
          <w:sz w:val="24"/>
          <w:szCs w:val="24"/>
        </w:rPr>
        <w:t>8.10. Comprovada a regularidade da habilitação, o licitante será reputado habilitado e será declarado vencedor do lote.</w:t>
      </w:r>
    </w:p>
    <w:p>
      <w:pPr>
        <w:pStyle w:val="Corpodetexto"/>
        <w:tabs>
          <w:tab w:val="left" w:pos="-1701"/>
          <w:tab w:val="left" w:pos="809"/>
        </w:tabs>
        <w:rPr>
          <w:rFonts w:ascii="Cambria" w:hAnsi="Cambria"/>
          <w:sz w:val="24"/>
          <w:szCs w:val="24"/>
        </w:rPr>
      </w:pPr>
    </w:p>
    <w:p>
      <w:pPr>
        <w:pStyle w:val="Ttulo1"/>
        <w:keepNext w:val="0"/>
        <w:keepLines w:val="0"/>
        <w:numPr>
          <w:ilvl w:val="0"/>
          <w:numId w:val="20"/>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SESSÃO PÚBLICA.</w:t>
      </w: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DISPOSIÇÕES PRELIMINARES: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O Pregão será do tipo Eletrônico o qual será realizado em sessão pública por meio da plataforma </w:t>
      </w:r>
      <w:hyperlink r:id="rId29" w:history="1">
        <w:r>
          <w:rPr>
            <w:rStyle w:val="Hyperlink"/>
            <w:rFonts w:ascii="Cambria" w:hAnsi="Cambria"/>
            <w:color w:val="auto"/>
            <w:sz w:val="24"/>
            <w:szCs w:val="24"/>
          </w:rPr>
          <w:t>www.compras.gov.br</w:t>
        </w:r>
      </w:hyperlink>
      <w:r>
        <w:rPr>
          <w:rFonts w:ascii="Cambria" w:hAnsi="Cambria"/>
          <w:sz w:val="24"/>
          <w:szCs w:val="24"/>
        </w:rPr>
        <w:t>, mediante condições de segurança - criptografia e autenticação - em todas as suas fases através do Sistema de Pregão Eletrônico.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Os trabalhos serão conduzidos por servidor da Prefeitura Municipal de Miraíma/CE, agente de contratação denominado como Pregoeiro.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 proponente poderá enviar as informações da Proposta de Preços e documentos de habilitação e participar da disputa através da plataforma eletrônica.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abertura da sessão pública deste Pregão, conduzida pelo(a) Pregoeiro(a) designado ao respectivo procedimento administrativo, ocorrerá na data e na hora indicadas no preâmbulo deste Edital.</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Cabe ao PROPONENTE acompanhar as operações na plataforma eletrônica  </w:t>
      </w:r>
      <w:hyperlink r:id="rId30" w:history="1">
        <w:r>
          <w:rPr>
            <w:rStyle w:val="Hyperlink"/>
            <w:rFonts w:ascii="Cambria" w:hAnsi="Cambria"/>
            <w:color w:val="auto"/>
            <w:sz w:val="24"/>
            <w:szCs w:val="24"/>
          </w:rPr>
          <w:t>www.compras.gov.br</w:t>
        </w:r>
      </w:hyperlink>
      <w:r>
        <w:rPr>
          <w:rFonts w:ascii="Cambria" w:hAnsi="Cambria"/>
          <w:sz w:val="24"/>
          <w:szCs w:val="24"/>
        </w:rPr>
        <w:t>,  anexar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Toda a Sessão Pública será documentada automaticamente pelo sistema na respectiva ATA DA SESSÃO, a qual será gerada e disponibilizada para consulta de todos os interessados por meio da plataforma eletrônica </w:t>
      </w:r>
      <w:hyperlink r:id="rId31"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Na hipótese de ocorrer desconexão do(a) Pregoeiro(a) no decorrer da Sessão e a plataforma eletrônica permanecer acessível aos proponentes, os trabalhos continuarão e os lances serão recebidos, sem qualquer prejuízo dos atos realizados.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(https://www.miraima.ce.gov.br/).</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Cabe ao proponente acompanhar continuamente os documentos, pareceres e atos divulgados ou disponibilizados por meio do Portal de Licitações do TCE/CE.</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 xml:space="preserve">Havendo necessidade, o(a) Pregoeiro(a) poderá suspender a Sessão com a devida comunicação prévia via CHAT, como também registrando na plataforma eletrônica </w:t>
      </w:r>
      <w:hyperlink r:id="rId32" w:history="1">
        <w:r>
          <w:rPr>
            <w:rStyle w:val="Hyperlink"/>
            <w:rFonts w:ascii="Cambria" w:hAnsi="Cambria"/>
            <w:color w:val="auto"/>
            <w:sz w:val="24"/>
            <w:szCs w:val="24"/>
          </w:rPr>
          <w:t>www.compras.gov.br</w:t>
        </w:r>
      </w:hyperlink>
      <w:r>
        <w:rPr>
          <w:rFonts w:ascii="Cambria" w:hAnsi="Cambria"/>
          <w:sz w:val="24"/>
          <w:szCs w:val="24"/>
        </w:rPr>
        <w:t xml:space="preserve"> a nova data e horário para a sua continuidade.</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Em face do horário, poderá o(a) Pregoeiro(a) estabelecer intervalo para almoço, sem a suspensão da Sessão, mediante comunicação prévia via CHAT.</w:t>
      </w:r>
    </w:p>
    <w:p>
      <w:pPr>
        <w:pStyle w:val="PargrafodaLista"/>
        <w:tabs>
          <w:tab w:val="left" w:pos="426"/>
        </w:tabs>
        <w:ind w:left="0"/>
        <w:jc w:val="both"/>
        <w:rPr>
          <w:rFonts w:ascii="Cambria" w:hAnsi="Cambria"/>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ABERTURA DAS PROPOSTAS DE PREÇOS:</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O(A) Pregoeiro(a) realizará previamente a sessão eletrônica, a configuração quanto a operacionalização do julgamento na plataforma, informando o período para análise da(s) proposta(s) de preços inicia(l)(is), a quantidade máxima de itens a serem disputados simultaneamente, dentre outros parâmetros relativos à disputa.</w:t>
      </w:r>
    </w:p>
    <w:p>
      <w:pPr>
        <w:pStyle w:val="PargrafodaLista"/>
        <w:numPr>
          <w:ilvl w:val="2"/>
          <w:numId w:val="20"/>
        </w:numPr>
        <w:tabs>
          <w:tab w:val="left" w:pos="426"/>
        </w:tabs>
        <w:suppressAutoHyphens/>
        <w:spacing w:after="0" w:line="240" w:lineRule="auto"/>
        <w:ind w:left="0" w:firstLine="0"/>
        <w:jc w:val="both"/>
        <w:rPr>
          <w:rFonts w:ascii="Cambria" w:hAnsi="Cambria"/>
          <w:sz w:val="24"/>
          <w:szCs w:val="24"/>
        </w:rPr>
      </w:pPr>
      <w:r>
        <w:rPr>
          <w:rFonts w:ascii="Cambria" w:hAnsi="Cambria"/>
          <w:sz w:val="24"/>
          <w:szCs w:val="24"/>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jc w:val="both"/>
        <w:rPr>
          <w:rFonts w:ascii="Cambria" w:hAnsi="Cambria"/>
          <w:b/>
          <w:bCs/>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FASE DE LANCES.</w:t>
      </w:r>
    </w:p>
    <w:p>
      <w:pPr>
        <w:pStyle w:val="PargrafodaLista"/>
        <w:numPr>
          <w:ilvl w:val="2"/>
          <w:numId w:val="20"/>
        </w:numPr>
        <w:tabs>
          <w:tab w:val="left" w:pos="426"/>
        </w:tabs>
        <w:suppressAutoHyphens/>
        <w:spacing w:after="0" w:line="240" w:lineRule="auto"/>
        <w:ind w:left="0" w:firstLine="0"/>
        <w:jc w:val="both"/>
        <w:rPr>
          <w:rFonts w:ascii="Cambria" w:hAnsi="Cambria"/>
          <w:b/>
          <w:bCs/>
          <w:sz w:val="24"/>
          <w:szCs w:val="24"/>
        </w:rPr>
      </w:pPr>
      <w:r>
        <w:rPr>
          <w:rFonts w:ascii="Cambria" w:hAnsi="Cambria"/>
          <w:sz w:val="24"/>
          <w:szCs w:val="24"/>
        </w:rPr>
        <w:lastRenderedPageBreak/>
        <w:t>A fase de lances poderá ocorrer sob o formato de disputa em modo “aberto” ou “aberto fechado”, conforme assinalado no quadro resumo constante do início do edital, devendo o licitante atentar-se quanto ao formato definido.</w:t>
      </w:r>
    </w:p>
    <w:p>
      <w:pPr>
        <w:pStyle w:val="PargrafodaLista"/>
        <w:tabs>
          <w:tab w:val="left" w:pos="426"/>
        </w:tabs>
        <w:ind w:left="0"/>
        <w:jc w:val="both"/>
        <w:rPr>
          <w:rFonts w:ascii="Cambria" w:hAnsi="Cambria"/>
          <w:b/>
          <w:bCs/>
          <w:sz w:val="24"/>
          <w:szCs w:val="24"/>
        </w:rPr>
      </w:pPr>
    </w:p>
    <w:p>
      <w:pPr>
        <w:pStyle w:val="PargrafodaLista"/>
        <w:numPr>
          <w:ilvl w:val="2"/>
          <w:numId w:val="20"/>
        </w:numPr>
        <w:tabs>
          <w:tab w:val="left" w:pos="426"/>
        </w:tabs>
        <w:suppressAutoHyphens/>
        <w:spacing w:after="0" w:line="240" w:lineRule="auto"/>
        <w:ind w:left="0" w:firstLine="0"/>
        <w:jc w:val="both"/>
        <w:rPr>
          <w:rFonts w:ascii="Cambria" w:hAnsi="Cambria"/>
          <w:b/>
          <w:sz w:val="24"/>
          <w:szCs w:val="24"/>
          <w:u w:val="single"/>
        </w:rPr>
      </w:pPr>
      <w:r>
        <w:rPr>
          <w:rFonts w:ascii="Cambria" w:hAnsi="Cambria"/>
          <w:b/>
          <w:sz w:val="24"/>
          <w:szCs w:val="24"/>
          <w:u w:val="single"/>
        </w:rPr>
        <w:t>DO MODO DE DISPUTA ABERTO:</w:t>
      </w:r>
    </w:p>
    <w:p>
      <w:pPr>
        <w:pStyle w:val="PargrafodaLista"/>
        <w:numPr>
          <w:ilvl w:val="3"/>
          <w:numId w:val="20"/>
        </w:numPr>
        <w:tabs>
          <w:tab w:val="left" w:pos="993"/>
        </w:tabs>
        <w:suppressAutoHyphens/>
        <w:spacing w:after="0" w:line="240" w:lineRule="auto"/>
        <w:ind w:left="0" w:firstLine="0"/>
        <w:jc w:val="both"/>
        <w:rPr>
          <w:rFonts w:ascii="Cambria" w:hAnsi="Cambria"/>
          <w:sz w:val="24"/>
          <w:szCs w:val="24"/>
        </w:rPr>
      </w:pPr>
      <w:r>
        <w:rPr>
          <w:rFonts w:ascii="Cambria" w:hAnsi="Cambria"/>
          <w:sz w:val="24"/>
          <w:szCs w:val="24"/>
        </w:rPr>
        <w:t>No modo de disputa “ABERTO”, de que trata este edital, os proponentes apresentarão lances públicos e sucessivos, observados os seguintes procedimentos:</w:t>
      </w:r>
    </w:p>
    <w:p>
      <w:pPr>
        <w:pStyle w:val="PargrafodaLista"/>
        <w:numPr>
          <w:ilvl w:val="3"/>
          <w:numId w:val="39"/>
        </w:numPr>
        <w:tabs>
          <w:tab w:val="left" w:pos="284"/>
        </w:tabs>
        <w:suppressAutoHyphens/>
        <w:spacing w:after="0" w:line="240" w:lineRule="auto"/>
        <w:jc w:val="both"/>
        <w:rPr>
          <w:rFonts w:ascii="Cambria" w:hAnsi="Cambria"/>
          <w:sz w:val="24"/>
          <w:szCs w:val="24"/>
        </w:rPr>
      </w:pPr>
      <w:r>
        <w:rPr>
          <w:rFonts w:ascii="Cambria" w:hAnsi="Cambria"/>
          <w:sz w:val="24"/>
          <w:szCs w:val="24"/>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39"/>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39"/>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Na hipótese de não haver novos lances na forma estabelecida nas alíneas anteriores, a sessão pública será encerrada automaticamente.</w:t>
      </w:r>
    </w:p>
    <w:p>
      <w:pPr>
        <w:pStyle w:val="PargrafodaLista"/>
        <w:tabs>
          <w:tab w:val="left" w:pos="851"/>
        </w:tabs>
        <w:ind w:left="0"/>
        <w:jc w:val="both"/>
        <w:rPr>
          <w:rFonts w:ascii="Cambria" w:hAnsi="Cambria"/>
          <w:b/>
          <w:bCs/>
          <w:sz w:val="24"/>
          <w:szCs w:val="24"/>
        </w:rPr>
      </w:pPr>
    </w:p>
    <w:p>
      <w:pPr>
        <w:pStyle w:val="PargrafodaLista"/>
        <w:numPr>
          <w:ilvl w:val="2"/>
          <w:numId w:val="20"/>
        </w:numPr>
        <w:tabs>
          <w:tab w:val="left" w:pos="426"/>
        </w:tabs>
        <w:suppressAutoHyphens/>
        <w:spacing w:after="0" w:line="240" w:lineRule="auto"/>
        <w:ind w:left="0" w:firstLine="0"/>
        <w:jc w:val="both"/>
        <w:rPr>
          <w:rFonts w:ascii="Cambria" w:hAnsi="Cambria"/>
          <w:b/>
          <w:sz w:val="24"/>
          <w:szCs w:val="24"/>
          <w:u w:val="single"/>
        </w:rPr>
      </w:pPr>
      <w:r>
        <w:rPr>
          <w:rFonts w:ascii="Cambria" w:hAnsi="Cambria"/>
          <w:b/>
          <w:sz w:val="24"/>
          <w:szCs w:val="24"/>
          <w:u w:val="single"/>
        </w:rPr>
        <w:t>DO MODO DE DISPUTA ABERTO E FECHADO:</w:t>
      </w:r>
    </w:p>
    <w:p>
      <w:pPr>
        <w:tabs>
          <w:tab w:val="left" w:pos="284"/>
        </w:tabs>
        <w:jc w:val="both"/>
        <w:rPr>
          <w:rFonts w:ascii="Cambria" w:hAnsi="Cambria"/>
          <w:sz w:val="24"/>
          <w:szCs w:val="24"/>
        </w:rPr>
      </w:pPr>
      <w:r>
        <w:rPr>
          <w:rFonts w:ascii="Cambria" w:hAnsi="Cambria"/>
          <w:sz w:val="24"/>
          <w:szCs w:val="24"/>
        </w:rPr>
        <w:t>9.3.3.1. Caso seja adotado para o envio de lances no pregão eletrônico o modo de disputa “aberto e fechado”, os licitantes apresentarão lances públicos e sucessivos, com lance final e fechado.</w:t>
      </w:r>
    </w:p>
    <w:p>
      <w:pPr>
        <w:tabs>
          <w:tab w:val="left" w:pos="284"/>
        </w:tabs>
        <w:jc w:val="both"/>
        <w:rPr>
          <w:rFonts w:ascii="Cambria" w:hAnsi="Cambria"/>
          <w:sz w:val="24"/>
          <w:szCs w:val="24"/>
        </w:rPr>
      </w:pPr>
      <w:r>
        <w:rPr>
          <w:rFonts w:ascii="Cambria" w:hAnsi="Cambria"/>
          <w:b/>
          <w:bCs/>
          <w:sz w:val="24"/>
          <w:szCs w:val="24"/>
        </w:rPr>
        <w:t xml:space="preserve">a) </w:t>
      </w:r>
      <w:r>
        <w:rPr>
          <w:rFonts w:ascii="Cambria" w:hAnsi="Cambria"/>
          <w:sz w:val="24"/>
          <w:szCs w:val="24"/>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jc w:val="both"/>
        <w:rPr>
          <w:rFonts w:ascii="Cambria" w:hAnsi="Cambria"/>
          <w:sz w:val="24"/>
          <w:szCs w:val="24"/>
        </w:rPr>
      </w:pPr>
      <w:r>
        <w:rPr>
          <w:rFonts w:ascii="Cambria" w:hAnsi="Cambria"/>
          <w:b/>
          <w:bCs/>
          <w:sz w:val="24"/>
          <w:szCs w:val="24"/>
        </w:rPr>
        <w:t>b)</w:t>
      </w:r>
      <w:r>
        <w:rPr>
          <w:rFonts w:ascii="Cambria" w:hAnsi="Cambria"/>
          <w:sz w:val="24"/>
          <w:szCs w:val="24"/>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s>
        <w:jc w:val="both"/>
        <w:rPr>
          <w:rFonts w:ascii="Cambria" w:hAnsi="Cambria"/>
          <w:sz w:val="24"/>
          <w:szCs w:val="24"/>
        </w:rPr>
      </w:pPr>
      <w:r>
        <w:rPr>
          <w:rFonts w:ascii="Cambria" w:hAnsi="Cambria"/>
          <w:b/>
          <w:bCs/>
          <w:sz w:val="24"/>
          <w:szCs w:val="24"/>
        </w:rPr>
        <w:t xml:space="preserve">c) </w:t>
      </w:r>
      <w:r>
        <w:rPr>
          <w:rFonts w:ascii="Cambria" w:hAnsi="Cambria"/>
          <w:sz w:val="24"/>
          <w:szCs w:val="24"/>
        </w:rPr>
        <w:t>No procedimento de que trata o subitem supra, o licitante poderá optar por manter o seu último lance da etapa aberta, ou por ofertar melhor lance.</w:t>
      </w:r>
    </w:p>
    <w:p>
      <w:pPr>
        <w:tabs>
          <w:tab w:val="left" w:pos="284"/>
        </w:tabs>
        <w:jc w:val="both"/>
        <w:rPr>
          <w:rFonts w:ascii="Cambria" w:hAnsi="Cambria"/>
          <w:sz w:val="24"/>
          <w:szCs w:val="24"/>
        </w:rPr>
      </w:pPr>
      <w:r>
        <w:rPr>
          <w:rFonts w:ascii="Cambria" w:hAnsi="Cambria"/>
          <w:b/>
          <w:bCs/>
          <w:sz w:val="24"/>
          <w:szCs w:val="24"/>
        </w:rPr>
        <w:t xml:space="preserve">d) </w:t>
      </w:r>
      <w:r>
        <w:rPr>
          <w:rFonts w:ascii="Cambria" w:hAnsi="Cambria"/>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PargrafodaLista"/>
        <w:tabs>
          <w:tab w:val="left" w:pos="284"/>
        </w:tabs>
        <w:ind w:left="0"/>
        <w:jc w:val="both"/>
        <w:rPr>
          <w:rFonts w:ascii="Cambria" w:hAnsi="Cambria"/>
          <w:sz w:val="24"/>
          <w:szCs w:val="24"/>
        </w:rPr>
      </w:pPr>
      <w:r>
        <w:rPr>
          <w:rFonts w:ascii="Cambria" w:hAnsi="Cambria"/>
          <w:b/>
          <w:bCs/>
          <w:sz w:val="24"/>
          <w:szCs w:val="24"/>
        </w:rPr>
        <w:t xml:space="preserve">e) </w:t>
      </w:r>
      <w:r>
        <w:rPr>
          <w:rFonts w:ascii="Cambria" w:hAnsi="Cambria"/>
          <w:sz w:val="24"/>
          <w:szCs w:val="24"/>
        </w:rPr>
        <w:t>Após o término dos prazos estabelecidos nos itens anteriores, o sistema ordenará e divulgará os lances segundo a ordem crescente de valores.</w:t>
      </w:r>
    </w:p>
    <w:p>
      <w:pPr>
        <w:pStyle w:val="PargrafodaLista"/>
        <w:tabs>
          <w:tab w:val="left" w:pos="284"/>
        </w:tabs>
        <w:ind w:left="0"/>
        <w:jc w:val="both"/>
        <w:rPr>
          <w:rFonts w:ascii="Cambria" w:hAnsi="Cambria"/>
          <w:sz w:val="24"/>
          <w:szCs w:val="24"/>
        </w:rPr>
      </w:pPr>
    </w:p>
    <w:p>
      <w:pPr>
        <w:pStyle w:val="PargrafodaLista"/>
        <w:numPr>
          <w:ilvl w:val="2"/>
          <w:numId w:val="20"/>
        </w:numPr>
        <w:tabs>
          <w:tab w:val="left" w:pos="426"/>
        </w:tabs>
        <w:suppressAutoHyphens/>
        <w:spacing w:after="0" w:line="240" w:lineRule="auto"/>
        <w:ind w:left="0" w:firstLine="0"/>
        <w:jc w:val="both"/>
        <w:rPr>
          <w:rFonts w:ascii="Cambria" w:hAnsi="Cambria"/>
          <w:b/>
          <w:sz w:val="24"/>
          <w:szCs w:val="24"/>
          <w:u w:val="single"/>
        </w:rPr>
      </w:pPr>
      <w:r>
        <w:rPr>
          <w:rFonts w:ascii="Cambria" w:hAnsi="Cambria"/>
          <w:b/>
          <w:sz w:val="24"/>
          <w:szCs w:val="24"/>
          <w:u w:val="single"/>
        </w:rPr>
        <w:t>DO MODO DE DISPUTA FECHADO E ABERTO:</w:t>
      </w:r>
    </w:p>
    <w:p>
      <w:pPr>
        <w:pStyle w:val="PargrafodaLista"/>
        <w:tabs>
          <w:tab w:val="left" w:pos="284"/>
        </w:tabs>
        <w:ind w:left="0"/>
        <w:jc w:val="both"/>
        <w:rPr>
          <w:rFonts w:ascii="Cambria" w:hAnsi="Cambria"/>
          <w:sz w:val="24"/>
          <w:szCs w:val="24"/>
        </w:rPr>
      </w:pPr>
      <w:r>
        <w:rPr>
          <w:rFonts w:ascii="Cambria" w:hAnsi="Cambria"/>
          <w:sz w:val="24"/>
          <w:szCs w:val="24"/>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jc w:val="both"/>
        <w:rPr>
          <w:rFonts w:ascii="Cambria" w:hAnsi="Cambria"/>
          <w:sz w:val="24"/>
          <w:szCs w:val="24"/>
        </w:rPr>
      </w:pPr>
      <w:r>
        <w:rPr>
          <w:rFonts w:ascii="Cambria" w:hAnsi="Cambria"/>
          <w:b/>
          <w:bCs/>
          <w:sz w:val="24"/>
          <w:szCs w:val="24"/>
        </w:rPr>
        <w:lastRenderedPageBreak/>
        <w:t xml:space="preserve">a) </w:t>
      </w:r>
      <w:r>
        <w:rPr>
          <w:rFonts w:ascii="Cambria" w:hAnsi="Cambria"/>
          <w:sz w:val="24"/>
          <w:szCs w:val="24"/>
        </w:rPr>
        <w:t>Não havendo pelo menos 3 (três) propostas nas condições definidas no item 9.3.4.1, poderão os licitantes que apresentaram as três melhores propostas, consideradas as empatadas, oferecer novos lances sucessivos.</w:t>
      </w:r>
    </w:p>
    <w:p>
      <w:pPr>
        <w:tabs>
          <w:tab w:val="left" w:pos="284"/>
        </w:tabs>
        <w:jc w:val="both"/>
        <w:rPr>
          <w:rFonts w:ascii="Cambria" w:hAnsi="Cambria"/>
          <w:sz w:val="24"/>
          <w:szCs w:val="24"/>
        </w:rPr>
      </w:pPr>
      <w:r>
        <w:rPr>
          <w:rFonts w:ascii="Cambria" w:hAnsi="Cambria"/>
          <w:b/>
          <w:bCs/>
          <w:sz w:val="24"/>
          <w:szCs w:val="24"/>
        </w:rPr>
        <w:t xml:space="preserve">b) </w:t>
      </w:r>
      <w:r>
        <w:rPr>
          <w:rFonts w:ascii="Cambria" w:hAnsi="Cambria"/>
          <w:sz w:val="24"/>
          <w:szCs w:val="24"/>
        </w:rPr>
        <w:t>A etapa de lances da sessão pública terá duração de dez minutos e, após isso, será prorrogada automaticamente pelo sistema quando houver lance ofertado nos últimos dois minutos do período de duração da sessão pública.</w:t>
      </w:r>
    </w:p>
    <w:p>
      <w:pPr>
        <w:tabs>
          <w:tab w:val="left" w:pos="284"/>
        </w:tabs>
        <w:jc w:val="both"/>
        <w:rPr>
          <w:rFonts w:ascii="Cambria" w:hAnsi="Cambria"/>
          <w:sz w:val="24"/>
          <w:szCs w:val="24"/>
        </w:rPr>
      </w:pPr>
      <w:r>
        <w:rPr>
          <w:rFonts w:ascii="Cambria" w:hAnsi="Cambria"/>
          <w:b/>
          <w:bCs/>
          <w:sz w:val="24"/>
          <w:szCs w:val="24"/>
        </w:rPr>
        <w:t>c)</w:t>
      </w:r>
      <w:r>
        <w:rPr>
          <w:rFonts w:ascii="Cambria" w:hAnsi="Cambria"/>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jc w:val="both"/>
        <w:rPr>
          <w:rFonts w:ascii="Cambria" w:hAnsi="Cambria"/>
          <w:sz w:val="24"/>
          <w:szCs w:val="24"/>
        </w:rPr>
      </w:pPr>
      <w:r>
        <w:rPr>
          <w:rFonts w:ascii="Cambria" w:hAnsi="Cambria"/>
          <w:b/>
          <w:bCs/>
          <w:sz w:val="24"/>
          <w:szCs w:val="24"/>
        </w:rPr>
        <w:t>d)</w:t>
      </w:r>
      <w:r>
        <w:rPr>
          <w:rFonts w:ascii="Cambria" w:hAnsi="Cambria"/>
          <w:sz w:val="24"/>
          <w:szCs w:val="24"/>
        </w:rPr>
        <w:t>Não havendo novos lances na forma estabelecida nos itens anteriores, a sessão pública encerrar-se-á automaticamente, e o sistema ordenará e divulgará os lances conforme a ordem final de classificação.</w:t>
      </w:r>
    </w:p>
    <w:p>
      <w:pPr>
        <w:tabs>
          <w:tab w:val="left" w:pos="284"/>
        </w:tabs>
        <w:jc w:val="both"/>
        <w:rPr>
          <w:rFonts w:ascii="Cambria" w:hAnsi="Cambria"/>
          <w:sz w:val="24"/>
          <w:szCs w:val="24"/>
        </w:rPr>
      </w:pPr>
      <w:r>
        <w:rPr>
          <w:rFonts w:ascii="Cambria" w:hAnsi="Cambria"/>
          <w:b/>
          <w:bCs/>
          <w:sz w:val="24"/>
          <w:szCs w:val="24"/>
        </w:rPr>
        <w:t xml:space="preserve">e) </w:t>
      </w:r>
      <w:r>
        <w:rPr>
          <w:rFonts w:ascii="Cambria" w:hAnsi="Cambria"/>
          <w:sz w:val="24"/>
          <w:szCs w:val="24"/>
        </w:rPr>
        <w:t>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jc w:val="both"/>
        <w:rPr>
          <w:rFonts w:ascii="Cambria" w:hAnsi="Cambria"/>
          <w:sz w:val="24"/>
          <w:szCs w:val="24"/>
        </w:rPr>
      </w:pPr>
      <w:r>
        <w:rPr>
          <w:rFonts w:ascii="Cambria" w:hAnsi="Cambria"/>
          <w:b/>
          <w:bCs/>
          <w:sz w:val="24"/>
          <w:szCs w:val="24"/>
        </w:rPr>
        <w:t xml:space="preserve">f) </w:t>
      </w:r>
      <w:r>
        <w:rPr>
          <w:rFonts w:ascii="Cambria" w:hAnsi="Cambria"/>
          <w:sz w:val="24"/>
          <w:szCs w:val="24"/>
        </w:rPr>
        <w:t xml:space="preserve">Após o reinício previsto no subitem supra, os licitantes serão convocados para apresentar lances intermediários. </w:t>
      </w:r>
    </w:p>
    <w:p>
      <w:pPr>
        <w:pStyle w:val="PargrafodaLista"/>
        <w:tabs>
          <w:tab w:val="left" w:pos="851"/>
        </w:tabs>
        <w:ind w:left="0"/>
        <w:jc w:val="both"/>
        <w:rPr>
          <w:rFonts w:ascii="Cambria" w:hAnsi="Cambria"/>
          <w:sz w:val="24"/>
          <w:szCs w:val="24"/>
        </w:rPr>
      </w:pPr>
    </w:p>
    <w:p>
      <w:pPr>
        <w:pStyle w:val="PargrafodaLista"/>
        <w:numPr>
          <w:ilvl w:val="2"/>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ORIENTAÇÕES GERAIS SOBRE OS LANCES:</w:t>
      </w:r>
    </w:p>
    <w:p>
      <w:pPr>
        <w:pStyle w:val="PargrafodaLista"/>
        <w:numPr>
          <w:ilvl w:val="3"/>
          <w:numId w:val="20"/>
        </w:numPr>
        <w:tabs>
          <w:tab w:val="left" w:pos="993"/>
        </w:tabs>
        <w:suppressAutoHyphens/>
        <w:spacing w:after="0" w:line="240" w:lineRule="auto"/>
        <w:ind w:left="0" w:firstLine="0"/>
        <w:jc w:val="both"/>
        <w:rPr>
          <w:rFonts w:ascii="Cambria" w:hAnsi="Cambria"/>
          <w:sz w:val="24"/>
          <w:szCs w:val="24"/>
        </w:rPr>
      </w:pPr>
      <w:r>
        <w:rPr>
          <w:rFonts w:ascii="Cambria" w:hAnsi="Cambria"/>
          <w:sz w:val="24"/>
          <w:szCs w:val="24"/>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pStyle w:val="PargrafodaLista"/>
        <w:numPr>
          <w:ilvl w:val="3"/>
          <w:numId w:val="20"/>
        </w:numPr>
        <w:tabs>
          <w:tab w:val="left" w:pos="993"/>
        </w:tabs>
        <w:suppressAutoHyphens/>
        <w:spacing w:after="0" w:line="240" w:lineRule="auto"/>
        <w:ind w:left="0" w:firstLine="0"/>
        <w:jc w:val="both"/>
        <w:rPr>
          <w:rFonts w:ascii="Cambria" w:hAnsi="Cambria"/>
          <w:sz w:val="24"/>
          <w:szCs w:val="24"/>
        </w:rPr>
      </w:pPr>
      <w:r>
        <w:rPr>
          <w:rFonts w:ascii="Cambria" w:hAnsi="Cambria"/>
          <w:sz w:val="24"/>
          <w:szCs w:val="24"/>
        </w:rPr>
        <w:t>Para efeito de lances, o proponente deverá considerar o valor unitário do item.</w:t>
      </w:r>
    </w:p>
    <w:p>
      <w:pPr>
        <w:pStyle w:val="PargrafodaLista"/>
        <w:numPr>
          <w:ilvl w:val="3"/>
          <w:numId w:val="20"/>
        </w:numPr>
        <w:tabs>
          <w:tab w:val="left" w:pos="993"/>
        </w:tabs>
        <w:suppressAutoHyphens/>
        <w:spacing w:after="0" w:line="240" w:lineRule="auto"/>
        <w:ind w:left="0" w:firstLine="0"/>
        <w:jc w:val="both"/>
        <w:rPr>
          <w:rFonts w:ascii="Cambria" w:hAnsi="Cambria"/>
          <w:sz w:val="24"/>
          <w:szCs w:val="24"/>
        </w:rPr>
      </w:pPr>
      <w:r>
        <w:rPr>
          <w:rFonts w:ascii="Cambria" w:hAnsi="Cambria"/>
          <w:sz w:val="24"/>
          <w:szCs w:val="24"/>
        </w:rPr>
        <w:t>Os proponentes poderão ofertar lances sucessivos, desde que inferiores ao seu último lance registrado no Sistema, ainda que este seja maior que o menor lance já ofertado por outro(s) proponente.</w:t>
      </w:r>
    </w:p>
    <w:p>
      <w:pPr>
        <w:pStyle w:val="PargrafodaLista"/>
        <w:numPr>
          <w:ilvl w:val="3"/>
          <w:numId w:val="20"/>
        </w:numPr>
        <w:tabs>
          <w:tab w:val="left" w:pos="993"/>
        </w:tabs>
        <w:suppressAutoHyphens/>
        <w:spacing w:after="0" w:line="240" w:lineRule="auto"/>
        <w:ind w:left="0" w:firstLine="0"/>
        <w:jc w:val="both"/>
        <w:rPr>
          <w:rFonts w:ascii="Cambria" w:hAnsi="Cambria"/>
          <w:sz w:val="24"/>
          <w:szCs w:val="24"/>
        </w:rPr>
      </w:pPr>
      <w:r>
        <w:rPr>
          <w:rFonts w:ascii="Cambria" w:hAnsi="Cambria"/>
          <w:sz w:val="24"/>
          <w:szCs w:val="24"/>
        </w:rPr>
        <w:t>O intervalo mínimo de diferença de valores entre os lances, que incidirá tanto em relação aos lances intermediários quanto em relação à proposta que cobrir a melhor oferta deverá ser de 0,1%, conforme previsto no Art. 57, da lei 14.133/21.</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Durante a sessão pública de disputa, os proponentes serão informados, em tempo real, do valor do menor lance registrado. O Sistema não identificará o autor dos lances ao(à) Pregoeiro(a) nem aos demais participantes.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Aberta a etapa competitiva, os representantes dos PROPONENTES deverão estar conectados ao sistema para participar da sessão de lances. É de inteira responsabilidade do proponente se manter conectado ao sistema e acompanhar a fase competitiva.</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Os lances serão ofertados item a item, conforme critério de julgamento definido, podendo, contudo, o(a) Pregoeiro(a) realizar a abertura de mais de um item de forma simultânea. </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Não serão aceitos dois ou mais lances iguais, prevalecendo aquele que for recebido e registrado primeiro.</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Quando o preço do item ofertado resultar em um valor unitário que possua mais de 02 (duas) casas decimais, serão consideradas apenas as 02 (duas) primeiras casas decimais (centavos), devendo o(a) Pregoeiro(a) e o proponente vencedor proceder às </w:t>
      </w:r>
      <w:r>
        <w:rPr>
          <w:rFonts w:ascii="Cambria" w:hAnsi="Cambria"/>
          <w:sz w:val="24"/>
          <w:szCs w:val="24"/>
        </w:rPr>
        <w:lastRenderedPageBreak/>
        <w:t>adequações de preço necessárias, inclusive por ocasião da entrega Proposta de Preços final consolidada.</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Na hipótese de a plataforma eletrônica desconectar para o(a) Pregoeiro(a) no decorrer da etapa de envio de lances da sessão pública e permanecer acessível aos proponentes, os lances continuarão sendo recebidos, sem prejuízo dos atos realizados.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Na hipótese dos subitens anteriores, a ocorrência será registrada em campo próprio do sistema.</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O Sistema informará a proposta de menor preço ao encerrar a fase de disputa. </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0"/>
        <w:jc w:val="both"/>
        <w:rPr>
          <w:rFonts w:ascii="Cambria" w:hAnsi="Cambria"/>
          <w:b/>
          <w:bCs/>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DIREITO DE PREFERÊNCIA E APLICAÇÃO DOS CRITÉRIOS DE DESEMPATE</w:t>
      </w:r>
    </w:p>
    <w:p>
      <w:pPr>
        <w:pStyle w:val="PargrafodaLista"/>
        <w:ind w:left="0"/>
        <w:jc w:val="center"/>
        <w:rPr>
          <w:rFonts w:ascii="Cambria" w:hAnsi="Cambria"/>
          <w:b/>
          <w:bCs/>
          <w:sz w:val="24"/>
          <w:szCs w:val="24"/>
          <w:u w:val="single"/>
        </w:rPr>
      </w:pPr>
    </w:p>
    <w:p>
      <w:pPr>
        <w:pStyle w:val="PargrafodaLista"/>
        <w:shd w:val="clear" w:color="auto" w:fill="F2F2F2" w:themeFill="background1" w:themeFillShade="F2"/>
        <w:ind w:left="0"/>
        <w:jc w:val="center"/>
        <w:rPr>
          <w:rFonts w:ascii="Cambria" w:hAnsi="Cambria"/>
          <w:b/>
          <w:bCs/>
          <w:sz w:val="24"/>
          <w:szCs w:val="24"/>
          <w:u w:val="single"/>
        </w:rPr>
      </w:pPr>
      <w:r>
        <w:rPr>
          <w:rFonts w:ascii="Cambria" w:hAnsi="Cambria"/>
          <w:b/>
          <w:bCs/>
          <w:sz w:val="24"/>
          <w:szCs w:val="24"/>
          <w:u w:val="single"/>
        </w:rPr>
        <w:t>DIREITOS DE PREFERÊNCIA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A melhor classificada nos termos do item anterior terá o direito de encaminhar uma última oferta para desempate, obrigatoriamente em valor inferior ao da primeira </w:t>
      </w:r>
      <w:r>
        <w:rPr>
          <w:rFonts w:ascii="Cambria" w:hAnsi="Cambria"/>
          <w:sz w:val="24"/>
          <w:szCs w:val="24"/>
        </w:rPr>
        <w:lastRenderedPageBreak/>
        <w:t xml:space="preserve">colocada, no prazo de 05 (cinco) minutos controlados pelo sistema, contados após a comunicação automática para tanto. </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Na hipótese de persistir o empate, a proposta vencedora será sorteada pela plataforma eletrônica dentre as propostas empatadas.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Na hipótese de nenhum dos proponentes exercerem o direito de preferência nos moldes descritos no subitem anterior, será mantida a ordem classificatória original.</w:t>
      </w:r>
    </w:p>
    <w:p>
      <w:pPr>
        <w:pStyle w:val="Corpodetexto"/>
        <w:tabs>
          <w:tab w:val="left" w:pos="-1701"/>
        </w:tabs>
        <w:rPr>
          <w:rFonts w:ascii="Cambria" w:hAnsi="Cambria"/>
          <w:b/>
          <w:bCs/>
          <w:sz w:val="24"/>
          <w:szCs w:val="24"/>
        </w:rPr>
      </w:pPr>
    </w:p>
    <w:p>
      <w:pPr>
        <w:pStyle w:val="PargrafodaLista"/>
        <w:numPr>
          <w:ilvl w:val="2"/>
          <w:numId w:val="20"/>
        </w:numPr>
        <w:suppressAutoHyphens/>
        <w:spacing w:after="0" w:line="240" w:lineRule="auto"/>
        <w:ind w:left="0" w:firstLine="0"/>
        <w:jc w:val="both"/>
        <w:rPr>
          <w:rFonts w:ascii="Cambria" w:hAnsi="Cambria"/>
          <w:b/>
          <w:bCs/>
          <w:sz w:val="24"/>
          <w:szCs w:val="24"/>
        </w:rPr>
      </w:pPr>
      <w:r>
        <w:rPr>
          <w:rFonts w:ascii="Cambria" w:hAnsi="Cambria"/>
          <w:b/>
          <w:bCs/>
          <w:sz w:val="24"/>
          <w:szCs w:val="24"/>
        </w:rPr>
        <w:t>Verificação das condições quanto ao tratamento diferenciado:</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Como condição prévia à aceitação da proposta, caso o proponente detentor da proposta classificada em primeiro lugar tenha usufruído do tratamento diferenciado previsto nos artigos 44 e 45 da Lei Complementar n° 123, de 2006, 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33" w:history="1">
        <w:r>
          <w:rPr>
            <w:rFonts w:ascii="Cambria" w:hAnsi="Cambria"/>
            <w:sz w:val="24"/>
            <w:szCs w:val="24"/>
          </w:rPr>
          <w:t>http://municipios.tce.ce.gov.br/transparencia/</w:t>
        </w:r>
      </w:hyperlink>
      <w:r>
        <w:rPr>
          <w:rFonts w:ascii="Cambria" w:hAnsi="Cambria"/>
          <w:sz w:val="24"/>
          <w:szCs w:val="24"/>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o(a) Pregoeiro(a)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Style w:val="Corpodetexto"/>
        <w:tabs>
          <w:tab w:val="left" w:pos="-1701"/>
        </w:tabs>
        <w:rPr>
          <w:rFonts w:ascii="Cambria" w:hAnsi="Cambria"/>
          <w:b/>
          <w:bCs/>
          <w:sz w:val="24"/>
          <w:szCs w:val="24"/>
        </w:rPr>
      </w:pPr>
    </w:p>
    <w:p>
      <w:pPr>
        <w:pStyle w:val="Corpodetexto"/>
        <w:shd w:val="clear" w:color="auto" w:fill="F2F2F2" w:themeFill="background1" w:themeFillShade="F2"/>
        <w:tabs>
          <w:tab w:val="left" w:pos="-1701"/>
        </w:tabs>
        <w:jc w:val="center"/>
        <w:rPr>
          <w:rFonts w:ascii="Cambria" w:hAnsi="Cambria"/>
          <w:b/>
          <w:bCs/>
          <w:sz w:val="24"/>
          <w:szCs w:val="24"/>
          <w:u w:val="single"/>
        </w:rPr>
      </w:pPr>
      <w:r>
        <w:rPr>
          <w:rFonts w:ascii="Cambria" w:hAnsi="Cambria"/>
          <w:b/>
          <w:bCs/>
          <w:sz w:val="24"/>
          <w:szCs w:val="24"/>
          <w:u w:val="single"/>
        </w:rPr>
        <w:t>CRITÉRIOS DE DESEMPATE</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lastRenderedPageBreak/>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42"/>
        </w:numPr>
        <w:tabs>
          <w:tab w:val="left" w:pos="284"/>
        </w:tabs>
        <w:suppressAutoHyphens/>
        <w:spacing w:after="0" w:line="240" w:lineRule="auto"/>
        <w:jc w:val="both"/>
        <w:rPr>
          <w:rFonts w:ascii="Cambria" w:hAnsi="Cambria"/>
          <w:sz w:val="24"/>
          <w:szCs w:val="24"/>
        </w:rPr>
      </w:pPr>
      <w:r>
        <w:rPr>
          <w:rFonts w:ascii="Cambria" w:hAnsi="Cambria"/>
          <w:sz w:val="24"/>
          <w:szCs w:val="24"/>
        </w:rPr>
        <w:t>Em caso de empate entre duas ou mais propostas, serão utilizados os seguintes critérios de desempate, nesta ordem:</w:t>
      </w:r>
    </w:p>
    <w:p>
      <w:pPr>
        <w:pStyle w:val="PargrafodaLista"/>
        <w:numPr>
          <w:ilvl w:val="2"/>
          <w:numId w:val="40"/>
        </w:numPr>
        <w:tabs>
          <w:tab w:val="left" w:pos="851"/>
        </w:tabs>
        <w:suppressAutoHyphens/>
        <w:spacing w:after="0" w:line="240" w:lineRule="auto"/>
        <w:jc w:val="both"/>
        <w:rPr>
          <w:rFonts w:ascii="Cambria" w:hAnsi="Cambria"/>
          <w:sz w:val="24"/>
          <w:szCs w:val="24"/>
        </w:rPr>
      </w:pPr>
      <w:r>
        <w:rPr>
          <w:rFonts w:ascii="Cambria" w:hAnsi="Cambria"/>
          <w:sz w:val="24"/>
          <w:szCs w:val="24"/>
        </w:rPr>
        <w:t>disputa final, hipótese em que os proponentes empatados poderão apresentar nova proposta em ato contínuo à classificação;</w:t>
      </w:r>
    </w:p>
    <w:p>
      <w:pPr>
        <w:pStyle w:val="PargrafodaLista"/>
        <w:numPr>
          <w:ilvl w:val="2"/>
          <w:numId w:val="40"/>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40"/>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desenvolvimento pelo proponente de ações de equidade entre homens e mulheres no ambiente de trabalho, conforme regulamento;</w:t>
      </w:r>
    </w:p>
    <w:p>
      <w:pPr>
        <w:pStyle w:val="PargrafodaLista"/>
        <w:numPr>
          <w:ilvl w:val="2"/>
          <w:numId w:val="40"/>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desenvolvimento pelo proponente de programa de integridade, conforme orientações dos órgãos de controle.</w:t>
      </w:r>
    </w:p>
    <w:p>
      <w:pPr>
        <w:pStyle w:val="PargrafodaLista"/>
        <w:numPr>
          <w:ilvl w:val="0"/>
          <w:numId w:val="4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Em igualdade de condições, se não houver desempate, será assegurada preferência, sucessivamente, aos serviços e serviços produzidos ou prestados por:</w:t>
      </w:r>
    </w:p>
    <w:p>
      <w:pPr>
        <w:pStyle w:val="PargrafodaLista"/>
        <w:numPr>
          <w:ilvl w:val="2"/>
          <w:numId w:val="41"/>
        </w:numPr>
        <w:tabs>
          <w:tab w:val="left" w:pos="851"/>
        </w:tabs>
        <w:suppressAutoHyphens/>
        <w:spacing w:after="0" w:line="240" w:lineRule="auto"/>
        <w:jc w:val="both"/>
        <w:rPr>
          <w:rFonts w:ascii="Cambria" w:hAnsi="Cambria"/>
          <w:sz w:val="24"/>
          <w:szCs w:val="24"/>
        </w:rPr>
      </w:pPr>
      <w:r>
        <w:rPr>
          <w:rFonts w:ascii="Cambria" w:hAnsi="Cambria"/>
          <w:sz w:val="24"/>
          <w:szCs w:val="24"/>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41"/>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Empresas brasileiras;</w:t>
      </w:r>
    </w:p>
    <w:p>
      <w:pPr>
        <w:pStyle w:val="PargrafodaLista"/>
        <w:numPr>
          <w:ilvl w:val="2"/>
          <w:numId w:val="41"/>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Empresas que invistam em pesquisa e no desenvolvimento de tecnologia no País;</w:t>
      </w:r>
    </w:p>
    <w:p>
      <w:pPr>
        <w:pStyle w:val="PargrafodaLista"/>
        <w:numPr>
          <w:ilvl w:val="2"/>
          <w:numId w:val="41"/>
        </w:numPr>
        <w:tabs>
          <w:tab w:val="left" w:pos="851"/>
        </w:tabs>
        <w:suppressAutoHyphens/>
        <w:spacing w:after="0" w:line="240" w:lineRule="auto"/>
        <w:ind w:left="567" w:firstLine="0"/>
        <w:jc w:val="both"/>
        <w:rPr>
          <w:rFonts w:ascii="Cambria" w:hAnsi="Cambria"/>
          <w:sz w:val="24"/>
          <w:szCs w:val="24"/>
        </w:rPr>
      </w:pPr>
      <w:r>
        <w:rPr>
          <w:rFonts w:ascii="Cambria" w:hAnsi="Cambria"/>
          <w:sz w:val="24"/>
          <w:szCs w:val="24"/>
        </w:rPr>
        <w:t>Empresas que comprovem a prática de mitigação, nos termos da Lei nº 12.187, de 29 de dezembro de 2009.</w:t>
      </w:r>
    </w:p>
    <w:p>
      <w:pPr>
        <w:pStyle w:val="PargrafodaLista"/>
        <w:numPr>
          <w:ilvl w:val="0"/>
          <w:numId w:val="4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As regras previstas nas alíneas acima não prejudicarão a aplicação do disposto no art. 44 da Lei Complementar nº 123, de 14 de dezembro de 2006.</w:t>
      </w:r>
    </w:p>
    <w:p>
      <w:pPr>
        <w:pStyle w:val="PargrafodaLista"/>
        <w:ind w:left="0"/>
        <w:jc w:val="both"/>
        <w:rPr>
          <w:rFonts w:ascii="Cambria" w:hAnsi="Cambria"/>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NEGOCIAÇÃO:</w:t>
      </w:r>
    </w:p>
    <w:p>
      <w:pPr>
        <w:pStyle w:val="PargrafodaLista"/>
        <w:numPr>
          <w:ilvl w:val="2"/>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pStyle w:val="PargrafodaLista"/>
        <w:numPr>
          <w:ilvl w:val="2"/>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negociação será realizada por meio do sistema, podendo ser acompanhada pelos demais proponentes.</w:t>
      </w:r>
    </w:p>
    <w:p>
      <w:pPr>
        <w:pStyle w:val="PargrafodaLista"/>
        <w:numPr>
          <w:ilvl w:val="2"/>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Após a negociação do preço, o (a) Pregoeiro(a) solicitará a proposta de preços final (consolidada) devidamente escoimada do(s) proponente(s) vencedor(es).</w:t>
      </w:r>
    </w:p>
    <w:p>
      <w:pPr>
        <w:pStyle w:val="Corpodetexto"/>
        <w:tabs>
          <w:tab w:val="left" w:pos="-1701"/>
          <w:tab w:val="left" w:pos="809"/>
        </w:tabs>
        <w:autoSpaceDE w:val="0"/>
        <w:autoSpaceDN w:val="0"/>
        <w:adjustRightInd w:val="0"/>
        <w:rPr>
          <w:rFonts w:ascii="Cambria" w:hAnsi="Cambria"/>
          <w:b/>
          <w:bCs/>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APRESENTAÇÃO DA PROPOSTA DE PREÇOS FINAL (CONSOLIDADA):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Cambria" w:hAnsi="Cambria"/>
          <w:b/>
          <w:bCs/>
          <w:sz w:val="24"/>
          <w:szCs w:val="24"/>
        </w:rPr>
        <w:t>02 (duas) horas</w:t>
      </w:r>
      <w:r>
        <w:rPr>
          <w:rFonts w:ascii="Cambria" w:hAnsi="Cambria"/>
          <w:sz w:val="24"/>
          <w:szCs w:val="24"/>
        </w:rPr>
        <w:t>, contado da solicitação do(a) Pregoeiro(a) no sistema.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lastRenderedPageBreak/>
        <w:t>Esse prazo poderá ser estendido e/ou prorrogado a critério do(a) Pregoeiro(a) ou a pedido da autoridade competente, caso este constate a necessidade de maior tempo para elaboração da proposta de preço adequada.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Proposta de preços final (consolidada) deverá ser apresentada nos mesmos padrões e formalidades exigidas a proposta de preços inicial.</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20"/>
        </w:numPr>
        <w:suppressAutoHyphens/>
        <w:spacing w:after="0" w:line="240" w:lineRule="auto"/>
        <w:ind w:left="0" w:firstLine="0"/>
        <w:jc w:val="both"/>
        <w:rPr>
          <w:rFonts w:ascii="Cambria" w:hAnsi="Cambria"/>
          <w:b/>
          <w:bCs/>
          <w:sz w:val="24"/>
          <w:szCs w:val="24"/>
        </w:rPr>
      </w:pPr>
      <w:r>
        <w:rPr>
          <w:rFonts w:ascii="Cambria" w:hAnsi="Cambria"/>
          <w:sz w:val="24"/>
          <w:szCs w:val="24"/>
        </w:rPr>
        <w:t xml:space="preserve">A proposta de preços final (consolidada) deverá possuir redução proporcional ao lance ofertado em todos os Itens e ou lotes/grupos, conforme critério de julgamento definido. </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proponente deverá evitar que os valores globais extrapolem o número de 02 (duas) casas decimais após a vírgula. Caso isto ocorra, o (a) Pregoeiro (a) estará autorizado a adjudicar o objeto realizando arredondamentos a menor no valor cotado.</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qualquer momento, o(a) Pregoeiro(a) poderá solicitar parecer, consultas, análises e verificações por parte de técnicos pertencentes ao quadro de pessoal do Município de Miraíma/CE ou da autoridade competente para fins de avaliação da conformidade do objeto cotado às especificações técnicas contidas no Termo de Referência.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Será DESCLASSIFICADA, por despacho fundamentado, a proposta do licitante que, ressalvadas as situações e procedimentos previstos nos itens 9.6.9.3 e 9.6.9.4deste Edital:</w:t>
      </w:r>
    </w:p>
    <w:p>
      <w:pPr>
        <w:pStyle w:val="PargrafodaLista"/>
        <w:numPr>
          <w:ilvl w:val="3"/>
          <w:numId w:val="43"/>
        </w:numPr>
        <w:tabs>
          <w:tab w:val="left" w:pos="284"/>
        </w:tabs>
        <w:suppressAutoHyphens/>
        <w:spacing w:after="0" w:line="240" w:lineRule="auto"/>
        <w:jc w:val="both"/>
        <w:rPr>
          <w:rFonts w:ascii="Cambria" w:hAnsi="Cambria"/>
          <w:sz w:val="24"/>
          <w:szCs w:val="24"/>
        </w:rPr>
      </w:pPr>
      <w:r>
        <w:rPr>
          <w:rFonts w:ascii="Cambria" w:hAnsi="Cambria"/>
          <w:sz w:val="24"/>
          <w:szCs w:val="24"/>
        </w:rPr>
        <w:t>Deixar de comprovar requisito para fins de exercício de DIREITO DE PREFERÊNCIA (se for o caso);</w:t>
      </w:r>
    </w:p>
    <w:p>
      <w:pPr>
        <w:pStyle w:val="PargrafodaLista"/>
        <w:numPr>
          <w:ilvl w:val="3"/>
          <w:numId w:val="43"/>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Deixar de indicar, anexar ou comprovar as informações exigidas neste Edital (e seus ANEXOS) que prejudiquem a Avaliação da qualidade do objeto proposto;</w:t>
      </w:r>
    </w:p>
    <w:p>
      <w:pPr>
        <w:pStyle w:val="PargrafodaLista"/>
        <w:numPr>
          <w:ilvl w:val="3"/>
          <w:numId w:val="43"/>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Indique objeto que não atenda a todas as exigências de qualidade, amostras e às especificações técnicas contidas no Termo de Referência (anexo 01);</w:t>
      </w:r>
    </w:p>
    <w:p>
      <w:pPr>
        <w:pStyle w:val="PargrafodaLista"/>
        <w:numPr>
          <w:ilvl w:val="3"/>
          <w:numId w:val="43"/>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Não contenha a quantidade numérica e unidade métrica exigidas no Termo de Referência (anexo 01).</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Será CLASSIFICADA a proposta que atenda satisfatoriamente a todas as exigências fixadas no Edital e seus ANEXOS, bem como cujo objeto proposto esteja tecnicamente conforme com as especificações mínimas exigidas no Termo de Referência (anexo 01).</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w:t>
      </w:r>
      <w:r>
        <w:rPr>
          <w:rFonts w:ascii="Cambria" w:hAnsi="Cambria"/>
          <w:sz w:val="24"/>
          <w:szCs w:val="24"/>
        </w:rPr>
        <w:lastRenderedPageBreak/>
        <w:t>"ENVIAR ANEXO" pelo(a) Pregoeiro(a), a qualquer momento durante a fase de julgamento, no sentido de ampliar a competitividade e atingir a finalidade do certame.</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No julgamento das propostas, e considerando o interesse público na maior competitividade possível no certame, o(a) Pregoeiro(a) poderá:</w:t>
      </w:r>
    </w:p>
    <w:p>
      <w:pPr>
        <w:pStyle w:val="PargrafodaLista"/>
        <w:numPr>
          <w:ilvl w:val="3"/>
          <w:numId w:val="44"/>
        </w:numPr>
        <w:tabs>
          <w:tab w:val="left" w:pos="284"/>
        </w:tabs>
        <w:suppressAutoHyphens/>
        <w:spacing w:after="0" w:line="240" w:lineRule="auto"/>
        <w:jc w:val="both"/>
        <w:rPr>
          <w:rFonts w:ascii="Cambria" w:hAnsi="Cambria"/>
          <w:sz w:val="24"/>
          <w:szCs w:val="24"/>
        </w:rPr>
      </w:pPr>
      <w:r>
        <w:rPr>
          <w:rFonts w:ascii="Cambria" w:hAnsi="Cambria"/>
          <w:sz w:val="24"/>
          <w:szCs w:val="24"/>
        </w:rPr>
        <w:t>Solicitar complementação de informações, documentos e ajustes na proposta escrita para fins de atendimentos das exigências legais e editalícias;</w:t>
      </w:r>
    </w:p>
    <w:p>
      <w:pPr>
        <w:pStyle w:val="PargrafodaLista"/>
        <w:numPr>
          <w:ilvl w:val="3"/>
          <w:numId w:val="44"/>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44"/>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44"/>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Style w:val="Corpodetexto"/>
        <w:tabs>
          <w:tab w:val="left" w:pos="-1701"/>
          <w:tab w:val="left" w:pos="809"/>
        </w:tabs>
        <w:rPr>
          <w:rFonts w:ascii="Cambria" w:hAnsi="Cambria"/>
          <w:b/>
          <w:bCs/>
          <w:sz w:val="24"/>
          <w:szCs w:val="24"/>
        </w:rPr>
      </w:pPr>
    </w:p>
    <w:p>
      <w:pPr>
        <w:pStyle w:val="PargrafodaLista"/>
        <w:numPr>
          <w:ilvl w:val="1"/>
          <w:numId w:val="20"/>
        </w:numPr>
        <w:tabs>
          <w:tab w:val="left" w:pos="426"/>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 xml:space="preserve">DA ACEITABILIDADE DA PROPOSTA: </w:t>
      </w:r>
    </w:p>
    <w:p>
      <w:pPr>
        <w:pStyle w:val="PargrafodaLista"/>
        <w:numPr>
          <w:ilvl w:val="2"/>
          <w:numId w:val="20"/>
        </w:numPr>
        <w:suppressAutoHyphens/>
        <w:spacing w:after="0" w:line="240" w:lineRule="auto"/>
        <w:ind w:left="0" w:firstLine="0"/>
        <w:jc w:val="both"/>
        <w:rPr>
          <w:rFonts w:ascii="Cambria" w:hAnsi="Cambria"/>
          <w:b/>
          <w:bCs/>
          <w:sz w:val="24"/>
          <w:szCs w:val="24"/>
        </w:rPr>
      </w:pPr>
      <w:r>
        <w:rPr>
          <w:rFonts w:ascii="Cambria" w:hAnsi="Cambria"/>
          <w:b/>
          <w:bCs/>
          <w:sz w:val="24"/>
          <w:szCs w:val="24"/>
        </w:rPr>
        <w:t>Da exequibilidade do lance ou proposta de preços: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Não ocorrendo situação de recusa com base na hipótese acima, o(a) Pregoeiro(a) examinará a proposta classificada em primeiro lugar quanto ao preço, a sua exequibilidade, bem como quanto ao cumprimento das especificações do objeto.</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Será desclassificada a proposta ou o lance vencedor, apresentar preço final superior ao preço máximo fixado (Acórdão nº 1455/2018 -TCU - Plenário), desconto menor do que o mínimo exigido ou que apresentar preço manifestamente inexequível.</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Considerar-se-á inexequível a proposta que:</w:t>
      </w:r>
    </w:p>
    <w:p>
      <w:pPr>
        <w:pStyle w:val="Corpodetexto"/>
        <w:numPr>
          <w:ilvl w:val="0"/>
          <w:numId w:val="45"/>
        </w:numPr>
        <w:tabs>
          <w:tab w:val="left" w:pos="-1701"/>
          <w:tab w:val="left" w:pos="284"/>
        </w:tabs>
        <w:rPr>
          <w:rFonts w:ascii="Cambria" w:hAnsi="Cambria"/>
          <w:sz w:val="24"/>
          <w:szCs w:val="24"/>
        </w:rPr>
      </w:pPr>
      <w:r>
        <w:rPr>
          <w:rFonts w:ascii="Cambria" w:hAnsi="Cambria"/>
          <w:sz w:val="24"/>
          <w:szCs w:val="24"/>
        </w:rPr>
        <w:t>Não venha a ter demonstrada sua viabilidade por meio de documentação que comprove que os custos envolvidos na contratação são coerentes com os de mercado do objeto deste Pregão.</w:t>
      </w:r>
    </w:p>
    <w:p>
      <w:pPr>
        <w:pStyle w:val="Corpodetexto"/>
        <w:tabs>
          <w:tab w:val="left" w:pos="-1701"/>
          <w:tab w:val="left" w:pos="809"/>
        </w:tabs>
        <w:rPr>
          <w:rFonts w:ascii="Cambria" w:hAnsi="Cambria"/>
          <w:sz w:val="24"/>
          <w:szCs w:val="24"/>
        </w:rPr>
      </w:pPr>
      <w:r>
        <w:rPr>
          <w:rFonts w:ascii="Cambria" w:hAnsi="Cambria"/>
          <w:sz w:val="24"/>
          <w:szCs w:val="24"/>
        </w:rPr>
        <w:t>a.1) Para efeito de comprovação de sua exequibilidade, podendo-se adotar, dentre outros, os seguintes procedimentos:</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Questionamentos junto à proponente para a apresentação de justificativas e comprovações em relação aos custos com indícios de inexequibilidade;</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Verificação de acordos coletivos, convenções coletivas ou sentenças normativas em dissídios coletivos de trabalho;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Levantamento de informações junto aos órgãos públicos competentes;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Consultas a entidades ou conselhos de classe, sindicatos ou similares;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Pesquisas em órgãos públicos ou empresas privadas;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lastRenderedPageBreak/>
        <w:t xml:space="preserve">Verificação de outros contratos que a proponente mantenha com a Administração ou com a iniciativa privada;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Pesquisa de preço com fornecedores dos insumos utilizados, tais como: atacadistas, lojas de suprimentos, supermercados e fabricantes;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Verificação de notas fiscais dos serviços adquiridos pela proponente;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Levantamento de indicadores salariais ou trabalhistas publicados por órgãos de pesquisa;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Estudos setoriais;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 xml:space="preserve">Consultas às Secretarias de Fazenda federal, distrital, estadual ou municipal; </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Análise de soluções técnicas escolhidas e/ou condições excepcionalmente favoráveis que a proponente disponha para a prestação dos serviços;</w:t>
      </w:r>
    </w:p>
    <w:p>
      <w:pPr>
        <w:pStyle w:val="Corpodetexto"/>
        <w:numPr>
          <w:ilvl w:val="0"/>
          <w:numId w:val="19"/>
        </w:numPr>
        <w:tabs>
          <w:tab w:val="left" w:pos="-1701"/>
          <w:tab w:val="left" w:pos="809"/>
        </w:tabs>
        <w:rPr>
          <w:rFonts w:ascii="Cambria" w:hAnsi="Cambria"/>
          <w:sz w:val="24"/>
          <w:szCs w:val="24"/>
        </w:rPr>
      </w:pPr>
      <w:r>
        <w:rPr>
          <w:rFonts w:ascii="Cambria" w:hAnsi="Cambria"/>
          <w:sz w:val="24"/>
          <w:szCs w:val="24"/>
        </w:rPr>
        <w:t>Demais verificações que porventura se fizerem necessárias.</w:t>
      </w:r>
    </w:p>
    <w:p>
      <w:pPr>
        <w:pStyle w:val="Corpodetexto"/>
        <w:tabs>
          <w:tab w:val="left" w:pos="-1701"/>
          <w:tab w:val="left" w:pos="809"/>
        </w:tabs>
        <w:rPr>
          <w:rFonts w:ascii="Cambria" w:hAnsi="Cambria"/>
          <w:sz w:val="24"/>
          <w:szCs w:val="24"/>
        </w:rPr>
      </w:pPr>
    </w:p>
    <w:p>
      <w:pPr>
        <w:pStyle w:val="Corpodetexto"/>
        <w:numPr>
          <w:ilvl w:val="0"/>
          <w:numId w:val="45"/>
        </w:numPr>
        <w:tabs>
          <w:tab w:val="left" w:pos="-1701"/>
          <w:tab w:val="left" w:pos="284"/>
        </w:tabs>
        <w:ind w:left="0" w:firstLine="0"/>
        <w:rPr>
          <w:rFonts w:ascii="Cambria" w:hAnsi="Cambria"/>
          <w:sz w:val="24"/>
          <w:szCs w:val="24"/>
        </w:rPr>
      </w:pPr>
      <w:r>
        <w:rPr>
          <w:rFonts w:ascii="Cambria" w:hAnsi="Cambria"/>
          <w:sz w:val="24"/>
          <w:szCs w:val="24"/>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Style w:val="PargrafodaLista"/>
        <w:numPr>
          <w:ilvl w:val="2"/>
          <w:numId w:val="20"/>
        </w:numPr>
        <w:suppressAutoHyphens/>
        <w:spacing w:after="0" w:line="240" w:lineRule="auto"/>
        <w:ind w:left="0" w:firstLine="0"/>
        <w:jc w:val="both"/>
        <w:rPr>
          <w:rFonts w:ascii="Cambria" w:hAnsi="Cambria"/>
          <w:b/>
          <w:bCs/>
          <w:sz w:val="24"/>
          <w:szCs w:val="24"/>
        </w:rPr>
      </w:pPr>
      <w:r>
        <w:rPr>
          <w:rFonts w:ascii="Cambria" w:hAnsi="Cambria"/>
          <w:b/>
          <w:bCs/>
          <w:sz w:val="24"/>
          <w:szCs w:val="24"/>
        </w:rPr>
        <w:t>Da convocação para apresentação de documentos complementares a proposta de preços: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O(a) Pregoeiro(a) poderá convocar o proponente para enviar documento digital, por meio de funcionalidade disponível no sistema, estabelecendo no “chat” prazo razoável para tanto, sob pena de não aceitação da proposta.</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 prazo estabelecido pelo(a) Pregoeiro(a) poderá ser prorrogado por solicitação escrita e justificada do proponente, formulada antes de findo o prazo estabelecido, e formalmente aceita pelo (a) Pregoeiro(a).</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lastRenderedPageBreak/>
        <w:t>Também nas hipóteses em que o(a) Pregoeiro(a) não aceitar a proposta e passar à subsequente, poderá negociar com o proponente para que seja obtido preço melhor.</w:t>
      </w:r>
    </w:p>
    <w:p>
      <w:pPr>
        <w:pStyle w:val="PargrafodaLista"/>
        <w:numPr>
          <w:ilvl w:val="3"/>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pStyle w:val="PargrafodaLista"/>
        <w:tabs>
          <w:tab w:val="left" w:pos="851"/>
        </w:tabs>
        <w:ind w:left="0"/>
        <w:jc w:val="both"/>
        <w:rPr>
          <w:rFonts w:ascii="Cambria" w:hAnsi="Cambria"/>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VERIFICAÇÃO DAS CONDIÇÕES DE PARTICIPAÇÃO:</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Consulta Situação do Fornecedor e Relatório de Ocorrências (impedimentos, suspensões, multas, etc.) registrados no Sistema de Cadastramento Unificado de Fornecedores (SICAF);</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Cadastro Consolidado de Pessoa Jurídica do TCU, no Cadastro Nacional de Empresas Inidôneas (CEIS) e no Cadastro Nacional de Empresas Punidas (CNEP);</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Consulta ao Cadastro Nacional de Pessoa Jurídica (CNPJ), mantido pela Receita Federal do Brasil;</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Verificação de que o proponente esteja enquadrado nas situações constantes do item 3.1 deste Edital;</w:t>
      </w:r>
    </w:p>
    <w:p>
      <w:pPr>
        <w:pStyle w:val="PargrafodaLista"/>
        <w:numPr>
          <w:ilvl w:val="0"/>
          <w:numId w:val="46"/>
        </w:numPr>
        <w:tabs>
          <w:tab w:val="left" w:pos="284"/>
        </w:tabs>
        <w:suppressAutoHyphens/>
        <w:spacing w:after="0" w:line="240" w:lineRule="auto"/>
        <w:jc w:val="both"/>
        <w:rPr>
          <w:rFonts w:ascii="Cambria" w:hAnsi="Cambria"/>
          <w:sz w:val="24"/>
          <w:szCs w:val="24"/>
        </w:rPr>
      </w:pPr>
      <w:r>
        <w:rPr>
          <w:rFonts w:ascii="Cambria" w:hAnsi="Cambria"/>
          <w:sz w:val="24"/>
          <w:szCs w:val="24"/>
        </w:rPr>
        <w:t>Verificação de que o proponente não esteja enquadrado nas situações constantes do item 3.2 deste Edital;</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Não cumpridas quaisquer das condições de participação, o(a) pregoeiro(a) desclassificará a proposta do proponente, sendo este impedido de prosseguir no certame, por decisão fundamentada, devidamente registrada no campo DESCLASSIFICAÇÃO da plataforma eletrônica </w:t>
      </w:r>
      <w:hyperlink r:id="rId34"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 xml:space="preserve">DA FASE DE HABILITAÇÃO: </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Estando o(s) proponente(s) classificados, o(a) Pregoeiro(a) o convocará em ordem de classificação, via </w:t>
      </w:r>
      <w:hyperlink r:id="rId35" w:history="1">
        <w:r>
          <w:rPr>
            <w:rStyle w:val="Hyperlink"/>
            <w:rFonts w:ascii="Cambria" w:hAnsi="Cambria"/>
            <w:color w:val="auto"/>
            <w:sz w:val="24"/>
            <w:szCs w:val="24"/>
          </w:rPr>
          <w:t>www.compras.gov.br</w:t>
        </w:r>
      </w:hyperlink>
      <w:r>
        <w:rPr>
          <w:rFonts w:ascii="Cambria" w:hAnsi="Cambria"/>
          <w:sz w:val="24"/>
          <w:szCs w:val="24"/>
        </w:rPr>
        <w:t xml:space="preserve">, para fins de encaminhamento/anexação da DOCUMENTAÇÃO DE HABILITAÇÃO, por meio da opção "ENVIAR ANEXO", no prazo de até </w:t>
      </w:r>
      <w:r>
        <w:rPr>
          <w:rFonts w:ascii="Cambria" w:hAnsi="Cambria"/>
          <w:b/>
          <w:bCs/>
          <w:sz w:val="24"/>
          <w:szCs w:val="24"/>
        </w:rPr>
        <w:t>02h (duas horas),</w:t>
      </w:r>
      <w:r>
        <w:rPr>
          <w:rFonts w:ascii="Cambria" w:hAnsi="Cambria"/>
          <w:sz w:val="24"/>
          <w:szCs w:val="24"/>
        </w:rPr>
        <w:t xml:space="preserve"> contados a partir da convocação do(a) Pregoeiro(a), podendo ser prorrogado a requerimento do interessado e/ou a critério do(a) Pregoeiro(a).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Após a entrega dos documentos para habilitação, não será permitida a substituição ou a apresentação de novos documentos, salvo em sede de diligência, para: </w:t>
      </w:r>
    </w:p>
    <w:p>
      <w:pPr>
        <w:autoSpaceDE w:val="0"/>
        <w:autoSpaceDN w:val="0"/>
        <w:adjustRightInd w:val="0"/>
        <w:jc w:val="both"/>
        <w:rPr>
          <w:rFonts w:ascii="Cambria" w:eastAsiaTheme="minorHAnsi" w:hAnsi="Cambria"/>
          <w:sz w:val="24"/>
          <w:szCs w:val="24"/>
        </w:rPr>
      </w:pPr>
      <w:r>
        <w:rPr>
          <w:rFonts w:ascii="Cambria" w:eastAsiaTheme="minorHAnsi" w:hAnsi="Cambria"/>
          <w:sz w:val="24"/>
          <w:szCs w:val="24"/>
        </w:rPr>
        <w:t xml:space="preserve">a) complementação de informações acerca dos documentos já apresentados pelos licitantes e desde que necessária para apurar fatos existentes à época da abertura do certame; </w:t>
      </w:r>
    </w:p>
    <w:p>
      <w:pPr>
        <w:pStyle w:val="PargrafodaLista"/>
        <w:ind w:left="0"/>
        <w:jc w:val="both"/>
        <w:rPr>
          <w:rFonts w:ascii="Cambria" w:hAnsi="Cambria"/>
          <w:sz w:val="24"/>
          <w:szCs w:val="24"/>
        </w:rPr>
      </w:pPr>
      <w:r>
        <w:rPr>
          <w:rFonts w:ascii="Cambria" w:hAnsi="Cambria"/>
          <w:sz w:val="24"/>
          <w:szCs w:val="24"/>
        </w:rPr>
        <w:lastRenderedPageBreak/>
        <w:t>b) atualização de documentos cuja validade tenha expirado após a data de recebimento das propostas.</w:t>
      </w:r>
    </w:p>
    <w:p>
      <w:pPr>
        <w:pStyle w:val="PargrafodaLista"/>
        <w:ind w:left="0"/>
        <w:jc w:val="both"/>
        <w:rPr>
          <w:rFonts w:ascii="Cambria" w:hAnsi="Cambria"/>
          <w:sz w:val="24"/>
          <w:szCs w:val="24"/>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Cambria" w:hAnsi="Cambria"/>
          <w:sz w:val="24"/>
          <w:szCs w:val="24"/>
        </w:rPr>
      </w:pPr>
      <w:r>
        <w:rPr>
          <w:rFonts w:ascii="Cambria" w:hAnsi="Cambria"/>
          <w:b/>
          <w:bCs/>
          <w:sz w:val="24"/>
          <w:szCs w:val="24"/>
        </w:rPr>
        <w:t xml:space="preserve">OBSERVAÇÃO: </w:t>
      </w:r>
      <w:r>
        <w:rPr>
          <w:rFonts w:ascii="Cambria" w:hAnsi="Cambria"/>
          <w:sz w:val="24"/>
          <w:szCs w:val="24"/>
        </w:rPr>
        <w:t xml:space="preserve">Conforme entendimento firmado pelo TCU, originário do Acórdão nº 2.443/2021 – Plenário, a vedação no art. 64 da Lei 14.133/2021 não alcança documentos destinados a atestar condições de habilitação preexistentes à abertura da sessão pública que não foram anexados ao </w:t>
      </w:r>
      <w:hyperlink r:id="rId36" w:history="1">
        <w:r>
          <w:rPr>
            <w:rStyle w:val="Hyperlink"/>
            <w:rFonts w:ascii="Cambria" w:hAnsi="Cambria"/>
            <w:color w:val="auto"/>
            <w:sz w:val="24"/>
            <w:szCs w:val="24"/>
          </w:rPr>
          <w:t>www.compras.gov.br</w:t>
        </w:r>
      </w:hyperlink>
      <w:r>
        <w:rPr>
          <w:rFonts w:ascii="Cambria" w:hAnsi="Cambria"/>
          <w:sz w:val="24"/>
          <w:szCs w:val="24"/>
        </w:rPr>
        <w:t xml:space="preserve"> no momento oportuno, de forma que PODERÁ o(a) Pregoeiro(a) diligenciar para permitir tal (COMPLEMENTAÇÃO DE DOCUMENTOS).</w:t>
      </w:r>
    </w:p>
    <w:p>
      <w:pPr>
        <w:pStyle w:val="PargrafodaLista"/>
        <w:ind w:left="0"/>
        <w:jc w:val="both"/>
        <w:rPr>
          <w:rFonts w:ascii="Cambria" w:hAnsi="Cambria"/>
          <w:sz w:val="24"/>
          <w:szCs w:val="24"/>
        </w:rPr>
      </w:pP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Os documentos necessários a Habilitação do(s) proponente(s) classificado(s) serão os definidos no Termo de Referência (anexo 01).  </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Além da regularidade da documentação já abrangida pelo SICAF, serão visualizadas e impressas as declarações eletrônicas para fins de cumprimento do exigido no subitem 8.2 deste Edital.</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Caso o licitante não esteja regularmente cadastrado no SICAF ou esteja com alguma certidão com prazo de validade vencido, poderá o(a) Pregoeiro(a) e/ou a equipe de apoio realizar diligências eletrônicas diretamente nos sítios oficiais.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O(a) Pregoeiro(a)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Poderá ser INABILITADO o licitante que:</w:t>
      </w:r>
    </w:p>
    <w:p>
      <w:pPr>
        <w:pStyle w:val="PargrafodaLista"/>
        <w:numPr>
          <w:ilvl w:val="2"/>
          <w:numId w:val="47"/>
        </w:numPr>
        <w:tabs>
          <w:tab w:val="left" w:pos="284"/>
        </w:tabs>
        <w:suppressAutoHyphens/>
        <w:spacing w:after="0" w:line="240" w:lineRule="auto"/>
        <w:jc w:val="both"/>
        <w:rPr>
          <w:rFonts w:ascii="Cambria" w:hAnsi="Cambria"/>
          <w:sz w:val="24"/>
          <w:szCs w:val="24"/>
        </w:rPr>
      </w:pPr>
      <w:r>
        <w:rPr>
          <w:rFonts w:ascii="Cambria" w:hAnsi="Cambria"/>
          <w:sz w:val="24"/>
          <w:szCs w:val="24"/>
        </w:rPr>
        <w:t>deixar de encaminhar ou de apresentar quaisquer dos documentos de habilitação exigidos no Termo de Referência deste Edital;</w:t>
      </w:r>
    </w:p>
    <w:p>
      <w:pPr>
        <w:pStyle w:val="PargrafodaLista"/>
        <w:numPr>
          <w:ilvl w:val="2"/>
          <w:numId w:val="47"/>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apresentar CERTIDÃO ou outro documento com prazo de validade vencido;</w:t>
      </w:r>
    </w:p>
    <w:p>
      <w:pPr>
        <w:pStyle w:val="PargrafodaLista"/>
        <w:numPr>
          <w:ilvl w:val="2"/>
          <w:numId w:val="47"/>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apresentar quaisquer documentos em desacordo com este Edital;</w:t>
      </w:r>
    </w:p>
    <w:p>
      <w:pPr>
        <w:pStyle w:val="PargrafodaLista"/>
        <w:numPr>
          <w:ilvl w:val="2"/>
          <w:numId w:val="47"/>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não contenha em seu ato constitutivo atividade econômica compatível com o objeto da presente licitação;</w:t>
      </w:r>
    </w:p>
    <w:p>
      <w:pPr>
        <w:pStyle w:val="PargrafodaLista"/>
        <w:numPr>
          <w:ilvl w:val="2"/>
          <w:numId w:val="47"/>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não comprove exigência(s) de habilitação prevista neste Edital e seus anexos.</w:t>
      </w:r>
    </w:p>
    <w:p>
      <w:pPr>
        <w:pStyle w:val="PargrafodaLista"/>
        <w:ind w:left="0"/>
        <w:jc w:val="both"/>
        <w:rPr>
          <w:rFonts w:ascii="Cambria" w:hAnsi="Cambria"/>
          <w:sz w:val="24"/>
          <w:szCs w:val="24"/>
        </w:rPr>
      </w:pP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Sendo o licitante Microempresa - ME, Empresas de Pequeno Porte - EPP e equiparadas, não será motivo de INABILITAÇÃO a existência de restrições na sua HABILITAÇÃO FISCAL E TRABALHISTA, sendo observado o seguinte procedimento:</w:t>
      </w:r>
    </w:p>
    <w:p>
      <w:pPr>
        <w:pStyle w:val="PargrafodaLista"/>
        <w:numPr>
          <w:ilvl w:val="2"/>
          <w:numId w:val="48"/>
        </w:numPr>
        <w:tabs>
          <w:tab w:val="left" w:pos="284"/>
        </w:tabs>
        <w:suppressAutoHyphens/>
        <w:spacing w:after="0" w:line="240" w:lineRule="auto"/>
        <w:jc w:val="both"/>
        <w:rPr>
          <w:rFonts w:ascii="Cambria" w:hAnsi="Cambria"/>
          <w:sz w:val="24"/>
          <w:szCs w:val="24"/>
        </w:rPr>
      </w:pPr>
      <w:r>
        <w:rPr>
          <w:rFonts w:ascii="Cambria" w:hAnsi="Cambria"/>
          <w:sz w:val="24"/>
          <w:szCs w:val="24"/>
        </w:rPr>
        <w:lastRenderedPageBreak/>
        <w:t>será o licitante DECLARADO HABILITADO no certame para fins de posterior regularização, nos termos definidos na Lei Complementar nº 123/2006.</w:t>
      </w:r>
    </w:p>
    <w:p>
      <w:pPr>
        <w:pStyle w:val="PargrafodaLista"/>
        <w:numPr>
          <w:ilvl w:val="2"/>
          <w:numId w:val="48"/>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 xml:space="preserve">será assegurado o prazo de </w:t>
      </w:r>
      <w:r>
        <w:rPr>
          <w:rFonts w:ascii="Cambria" w:hAnsi="Cambria"/>
          <w:b/>
          <w:bCs/>
          <w:sz w:val="24"/>
          <w:szCs w:val="24"/>
        </w:rPr>
        <w:t>05 (cinco) dias úteis</w:t>
      </w:r>
      <w:r>
        <w:rPr>
          <w:rFonts w:ascii="Cambria" w:hAnsi="Cambria"/>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48"/>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No julgamento da habilitação, poderá o(a) Pregoeiro(a) adotar os procedimentos, diligências e decisões que visem sanar erros ou falhas que não prejudiquem a validade e segurança jurídica da documentação apresentada.</w:t>
      </w:r>
    </w:p>
    <w:p>
      <w:pPr>
        <w:jc w:val="both"/>
        <w:rPr>
          <w:rFonts w:ascii="Cambria" w:hAnsi="Cambria"/>
          <w:b/>
          <w:bCs/>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FASE DE RECURSOS: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Declarado o(s) vencedor(es), o(a) Pregoeiro(a) abrirá prazo mínimo de </w:t>
      </w:r>
      <w:r>
        <w:rPr>
          <w:rFonts w:ascii="Cambria" w:hAnsi="Cambria"/>
          <w:b/>
          <w:bCs/>
          <w:sz w:val="24"/>
          <w:szCs w:val="24"/>
        </w:rPr>
        <w:t>30 (trinta) minutos</w:t>
      </w:r>
      <w:r>
        <w:rPr>
          <w:rFonts w:ascii="Cambria" w:hAnsi="Cambria"/>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Será rejeitada a INTENÇÃO DE RECURSO de caráter protelatório que:</w:t>
      </w:r>
    </w:p>
    <w:p>
      <w:pPr>
        <w:pStyle w:val="PargrafodaLista"/>
        <w:numPr>
          <w:ilvl w:val="2"/>
          <w:numId w:val="49"/>
        </w:numPr>
        <w:tabs>
          <w:tab w:val="left" w:pos="284"/>
        </w:tabs>
        <w:suppressAutoHyphens/>
        <w:spacing w:after="0" w:line="240" w:lineRule="auto"/>
        <w:jc w:val="both"/>
        <w:rPr>
          <w:rFonts w:ascii="Cambria" w:hAnsi="Cambria"/>
          <w:sz w:val="24"/>
          <w:szCs w:val="24"/>
        </w:rPr>
      </w:pPr>
      <w:r>
        <w:rPr>
          <w:rFonts w:ascii="Cambria" w:hAnsi="Cambria"/>
          <w:sz w:val="24"/>
          <w:szCs w:val="24"/>
        </w:rPr>
        <w:t>seja registrada por quem não tenha legítimo interesse;</w:t>
      </w:r>
    </w:p>
    <w:p>
      <w:pPr>
        <w:pStyle w:val="PargrafodaLista"/>
        <w:numPr>
          <w:ilvl w:val="2"/>
          <w:numId w:val="49"/>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seja intempestiva;</w:t>
      </w:r>
    </w:p>
    <w:p>
      <w:pPr>
        <w:pStyle w:val="PargrafodaLista"/>
        <w:numPr>
          <w:ilvl w:val="2"/>
          <w:numId w:val="49"/>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não ataque ato decisório ou procedimental praticado pelo(a) Pregoeiro(a) no certame; e/ou</w:t>
      </w:r>
    </w:p>
    <w:p>
      <w:pPr>
        <w:pStyle w:val="PargrafodaLista"/>
        <w:numPr>
          <w:ilvl w:val="2"/>
          <w:numId w:val="49"/>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A recorrente que tiver sua intenção de recurso aceita terá o prazo de até </w:t>
      </w:r>
      <w:r>
        <w:rPr>
          <w:rFonts w:ascii="Cambria" w:hAnsi="Cambria"/>
          <w:b/>
          <w:bCs/>
          <w:sz w:val="24"/>
          <w:szCs w:val="24"/>
        </w:rPr>
        <w:t xml:space="preserve">03 (três) dias </w:t>
      </w:r>
      <w:r>
        <w:rPr>
          <w:rFonts w:ascii="Cambria" w:hAnsi="Cambria"/>
          <w:sz w:val="24"/>
          <w:szCs w:val="24"/>
        </w:rPr>
        <w:t xml:space="preserve">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w:t>
      </w:r>
      <w:hyperlink r:id="rId37" w:history="1">
        <w:r>
          <w:rPr>
            <w:rStyle w:val="Hyperlink"/>
            <w:rFonts w:ascii="Cambria" w:hAnsi="Cambria"/>
            <w:color w:val="auto"/>
            <w:sz w:val="24"/>
            <w:szCs w:val="24"/>
          </w:rPr>
          <w:t>www.compras.gov.br</w:t>
        </w:r>
      </w:hyperlink>
      <w:r>
        <w:rPr>
          <w:rFonts w:ascii="Cambria" w:hAnsi="Cambria"/>
          <w:sz w:val="24"/>
          <w:szCs w:val="24"/>
        </w:rPr>
        <w:t>, intimadas a apresentar contrarrazões, também via sistema e e-mail, no caso da situação anterior, em igual prazo, que começará a correr do término do prazo da recorrente.</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Para justificar sua intenção de recorrer e fundamentar suas razões ou contrarrazões de recurso, o licitante interessado poderá solicitar vistas dos autos ou consultar as informações do certame disponíveis na própria plataforma eletrônica do </w:t>
      </w:r>
      <w:hyperlink r:id="rId38"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Decorridos os prazos de apresentação de razões e contrarrazões, o(a) Pregoeiro(a) deverá analisar fundamentadamente os fatos e fundamentos arguidos pelo(s) recorrente(s), podendo, em sede de juízo de retratação:</w:t>
      </w:r>
    </w:p>
    <w:p>
      <w:pPr>
        <w:pStyle w:val="PargrafodaLista"/>
        <w:numPr>
          <w:ilvl w:val="2"/>
          <w:numId w:val="50"/>
        </w:numPr>
        <w:tabs>
          <w:tab w:val="left" w:pos="284"/>
        </w:tabs>
        <w:suppressAutoHyphens/>
        <w:spacing w:after="0" w:line="240" w:lineRule="auto"/>
        <w:jc w:val="both"/>
        <w:rPr>
          <w:rFonts w:ascii="Cambria" w:hAnsi="Cambria"/>
          <w:sz w:val="24"/>
          <w:szCs w:val="24"/>
        </w:rPr>
      </w:pPr>
      <w:r>
        <w:rPr>
          <w:rFonts w:ascii="Cambria" w:hAnsi="Cambria"/>
          <w:sz w:val="24"/>
          <w:szCs w:val="24"/>
        </w:rPr>
        <w:t>reconsiderar, total ou parcialmente, a decisão recorrida, reformando-a; ou,</w:t>
      </w:r>
    </w:p>
    <w:p>
      <w:pPr>
        <w:pStyle w:val="PargrafodaLista"/>
        <w:numPr>
          <w:ilvl w:val="2"/>
          <w:numId w:val="50"/>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manter inalterada a decisão recorrida.</w:t>
      </w:r>
    </w:p>
    <w:p>
      <w:pPr>
        <w:pStyle w:val="PargrafodaLista"/>
        <w:numPr>
          <w:ilvl w:val="2"/>
          <w:numId w:val="50"/>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pStyle w:val="PargrafodaLista"/>
        <w:numPr>
          <w:ilvl w:val="2"/>
          <w:numId w:val="51"/>
        </w:numPr>
        <w:tabs>
          <w:tab w:val="left" w:pos="284"/>
        </w:tabs>
        <w:suppressAutoHyphens/>
        <w:spacing w:after="0" w:line="240" w:lineRule="auto"/>
        <w:jc w:val="both"/>
        <w:rPr>
          <w:rFonts w:ascii="Cambria" w:hAnsi="Cambria"/>
          <w:sz w:val="24"/>
          <w:szCs w:val="24"/>
        </w:rPr>
      </w:pPr>
      <w:r>
        <w:rPr>
          <w:rFonts w:ascii="Cambria" w:hAnsi="Cambria"/>
          <w:sz w:val="24"/>
          <w:szCs w:val="24"/>
        </w:rPr>
        <w:t>decidir de pronto o mérito do recurso, segundo os documentos e informações contidas nos autos, como também os fundamentos da decisão do(a) Pregoeiro(a).</w:t>
      </w:r>
    </w:p>
    <w:p>
      <w:pPr>
        <w:pStyle w:val="PargrafodaLista"/>
        <w:numPr>
          <w:ilvl w:val="2"/>
          <w:numId w:val="51"/>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determinar prévia emissão de parecer da área técnica interessada e/ou jurídico para fins de decisão.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Não cabe recurso adesivo por ocasião do exercício do direito de contrarrazoar.</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No caso de licitações com julgamento por item e/ou por grupo/lote, a aceitação de intenção de recurso apenas suspenderá a tramitação do processo licitatório em relação ao(s) item(ns) recorrido(s), inclusive quanto ao prazo de validade da proposta, o qual somente recomeçará a contar quando da decisão final da autoridade competente, sendo realizado o encerramento da sessão e adjudicação do objeto pelo(a) Pregoeiro(a) em face dos demais itens/grupos do objeto da licitação, através de adjudicação ou homologação parcial.</w:t>
      </w:r>
    </w:p>
    <w:p>
      <w:pPr>
        <w:pStyle w:val="PargrafodaLista"/>
        <w:tabs>
          <w:tab w:val="left" w:pos="426"/>
        </w:tabs>
        <w:ind w:left="0"/>
        <w:jc w:val="both"/>
        <w:rPr>
          <w:rFonts w:ascii="Cambria" w:hAnsi="Cambria"/>
          <w:b/>
          <w:bCs/>
          <w:sz w:val="24"/>
          <w:szCs w:val="24"/>
          <w:u w:val="single"/>
        </w:rPr>
      </w:pP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SUSPENSÃO E REABERTURA DA SESSÃO: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À(o) Pregoeiro(a) é facultado, a qualquer momento, suspender a sessão mediante motivo devidamente justificado e marcar seu prosseguimento para outra ocasião, fazendo constar esta decisão na plataforma eletrônica. Neste caso, a sessão terá continuidade a </w:t>
      </w:r>
      <w:r>
        <w:rPr>
          <w:rFonts w:ascii="Cambria" w:hAnsi="Cambria"/>
          <w:sz w:val="24"/>
          <w:szCs w:val="24"/>
        </w:rPr>
        <w:lastRenderedPageBreak/>
        <w:t xml:space="preserve">qualquer dia e hora, ficando a cargo do(a) Pregoeiro(a) realizar o devido agendamento prévio na plataforma do </w:t>
      </w:r>
      <w:hyperlink r:id="rId39"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Cambria" w:hAnsi="Cambria"/>
          <w:b/>
          <w:bCs/>
          <w:sz w:val="24"/>
          <w:szCs w:val="24"/>
        </w:rPr>
        <w:t>24h (vinte e quatro horas)</w:t>
      </w:r>
      <w:r>
        <w:rPr>
          <w:rFonts w:ascii="Cambria" w:hAnsi="Cambria"/>
          <w:sz w:val="24"/>
          <w:szCs w:val="24"/>
        </w:rPr>
        <w:t xml:space="preserve"> após a comunicação do prosseguimento aos participantes, a qual serão informados na plataforma do </w:t>
      </w:r>
      <w:hyperlink r:id="rId40" w:history="1">
        <w:r>
          <w:rPr>
            <w:rStyle w:val="Hyperlink"/>
            <w:rFonts w:ascii="Cambria" w:hAnsi="Cambria"/>
            <w:color w:val="auto"/>
            <w:sz w:val="24"/>
            <w:szCs w:val="24"/>
          </w:rPr>
          <w:t>www.compras.gov.br</w:t>
        </w:r>
      </w:hyperlink>
      <w:r>
        <w:rPr>
          <w:rFonts w:ascii="Cambria" w:hAnsi="Cambria"/>
          <w:sz w:val="24"/>
          <w:szCs w:val="24"/>
        </w:rPr>
        <w:t>.</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A Sessão Pública poderá ser REABERTA, em prazo não inferior a </w:t>
      </w:r>
      <w:r>
        <w:rPr>
          <w:rFonts w:ascii="Cambria" w:hAnsi="Cambria"/>
          <w:b/>
          <w:bCs/>
          <w:sz w:val="24"/>
          <w:szCs w:val="24"/>
        </w:rPr>
        <w:t>24h (vinte e quatro horas)</w:t>
      </w:r>
      <w:r>
        <w:rPr>
          <w:rFonts w:ascii="Cambria" w:hAnsi="Cambria"/>
          <w:sz w:val="24"/>
          <w:szCs w:val="24"/>
        </w:rPr>
        <w:t>, em relação ao(s) ITEM(NS) do objeto que apresente os seguintes eventos, observada sempre a ordem classificatória da fase de lances:</w:t>
      </w:r>
    </w:p>
    <w:p>
      <w:pPr>
        <w:pStyle w:val="PargrafodaLista"/>
        <w:numPr>
          <w:ilvl w:val="2"/>
          <w:numId w:val="52"/>
        </w:numPr>
        <w:tabs>
          <w:tab w:val="left" w:pos="284"/>
        </w:tabs>
        <w:suppressAutoHyphens/>
        <w:spacing w:after="0" w:line="240" w:lineRule="auto"/>
        <w:jc w:val="both"/>
        <w:rPr>
          <w:rFonts w:ascii="Cambria" w:hAnsi="Cambria"/>
          <w:sz w:val="24"/>
          <w:szCs w:val="24"/>
        </w:rPr>
      </w:pPr>
      <w:r>
        <w:rPr>
          <w:rFonts w:ascii="Cambria" w:hAnsi="Cambria"/>
          <w:sz w:val="24"/>
          <w:szCs w:val="24"/>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5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5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Licitante declarado vencedor que não assinar o instrumento contratual, não havendo CADASTRO DE RESERVA, sendo o certame retomado da fase de aceitação e julgamento das propostas;</w:t>
      </w:r>
    </w:p>
    <w:p>
      <w:pPr>
        <w:pStyle w:val="PargrafodaLista"/>
        <w:numPr>
          <w:ilvl w:val="2"/>
          <w:numId w:val="5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52"/>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 xml:space="preserve">Todos os licitantes remanescentes deverão ser convocados para acompanhar a Sessão reaberta, sendo devidamente registrados na plataforma eletrônica </w:t>
      </w:r>
      <w:hyperlink r:id="rId41" w:history="1">
        <w:r>
          <w:rPr>
            <w:rStyle w:val="Hyperlink"/>
            <w:rFonts w:ascii="Cambria" w:hAnsi="Cambria"/>
            <w:color w:val="auto"/>
            <w:sz w:val="24"/>
            <w:szCs w:val="24"/>
          </w:rPr>
          <w:t>www.compras.gov.br</w:t>
        </w:r>
      </w:hyperlink>
      <w:r>
        <w:rPr>
          <w:rFonts w:ascii="Cambria" w:hAnsi="Cambria"/>
          <w:sz w:val="24"/>
          <w:szCs w:val="24"/>
        </w:rPr>
        <w:t xml:space="preserve"> a data e hora de tal reabertura, observados os seguintes meios:</w:t>
      </w:r>
    </w:p>
    <w:p>
      <w:pPr>
        <w:pStyle w:val="PargrafodaLista"/>
        <w:numPr>
          <w:ilvl w:val="2"/>
          <w:numId w:val="53"/>
        </w:numPr>
        <w:tabs>
          <w:tab w:val="left" w:pos="284"/>
        </w:tabs>
        <w:suppressAutoHyphens/>
        <w:spacing w:after="0" w:line="240" w:lineRule="auto"/>
        <w:jc w:val="both"/>
        <w:rPr>
          <w:rFonts w:ascii="Cambria" w:hAnsi="Cambria"/>
          <w:sz w:val="24"/>
          <w:szCs w:val="24"/>
        </w:rPr>
      </w:pPr>
      <w:r>
        <w:rPr>
          <w:rFonts w:ascii="Cambria" w:hAnsi="Cambria"/>
          <w:sz w:val="24"/>
          <w:szCs w:val="24"/>
        </w:rPr>
        <w:t xml:space="preserve">A convocação se dará por meio da plataforma eletrônica </w:t>
      </w:r>
      <w:hyperlink r:id="rId42" w:history="1">
        <w:r>
          <w:rPr>
            <w:rStyle w:val="Hyperlink"/>
            <w:rFonts w:ascii="Cambria" w:hAnsi="Cambria"/>
            <w:color w:val="auto"/>
            <w:sz w:val="24"/>
            <w:szCs w:val="24"/>
          </w:rPr>
          <w:t>www.compras.gov.br</w:t>
        </w:r>
      </w:hyperlink>
      <w:r>
        <w:rPr>
          <w:rFonts w:ascii="Cambria" w:hAnsi="Cambria"/>
          <w:sz w:val="24"/>
          <w:szCs w:val="24"/>
        </w:rPr>
        <w:t xml:space="preserve"> ("CHAT” ou evento de reabertura) ou e-mail, de acordo coma fase do procedimento licitatório;</w:t>
      </w:r>
    </w:p>
    <w:p>
      <w:pPr>
        <w:pStyle w:val="PargrafodaLista"/>
        <w:numPr>
          <w:ilvl w:val="2"/>
          <w:numId w:val="53"/>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 convocação feita por e-mail dar-se-á de acordo com os dados cadastrais contidos no SICAF, sendo responsabilidade do licitante mantê-los atualizados; e,</w:t>
      </w:r>
    </w:p>
    <w:p>
      <w:pPr>
        <w:pStyle w:val="PargrafodaLista"/>
        <w:numPr>
          <w:ilvl w:val="2"/>
          <w:numId w:val="53"/>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A convocação para reabertura também será divulgada com antecedência por meio do Quadro de Aviso e Portal de Licitações do TCE/CE, cabendo ao licitante acompanhar as informações e publicações contidas naquele canal de acesso.</w:t>
      </w:r>
    </w:p>
    <w:p>
      <w:pPr>
        <w:pStyle w:val="PargrafodaLista"/>
        <w:numPr>
          <w:ilvl w:val="2"/>
          <w:numId w:val="20"/>
        </w:numPr>
        <w:tabs>
          <w:tab w:val="left" w:pos="851"/>
        </w:tabs>
        <w:suppressAutoHyphens/>
        <w:spacing w:after="0" w:line="240" w:lineRule="auto"/>
        <w:ind w:left="0" w:firstLine="0"/>
        <w:jc w:val="both"/>
        <w:rPr>
          <w:rFonts w:ascii="Cambria" w:hAnsi="Cambria"/>
          <w:sz w:val="24"/>
          <w:szCs w:val="24"/>
        </w:rPr>
      </w:pPr>
      <w:r>
        <w:rPr>
          <w:rFonts w:ascii="Cambria" w:hAnsi="Cambria"/>
          <w:sz w:val="24"/>
          <w:szCs w:val="24"/>
        </w:rPr>
        <w:t>A Sessão Pública reaberta será composta de todos os procedimentos e regras de processamento fixadas neste Edital, a depender apenas da fase em que os trabalhos serão retomados.</w:t>
      </w:r>
    </w:p>
    <w:p>
      <w:pPr>
        <w:pStyle w:val="PargrafodaLista"/>
        <w:tabs>
          <w:tab w:val="left" w:pos="426"/>
        </w:tabs>
        <w:ind w:left="0"/>
        <w:jc w:val="both"/>
        <w:rPr>
          <w:rFonts w:ascii="Cambria" w:hAnsi="Cambria"/>
          <w:b/>
          <w:bCs/>
          <w:sz w:val="24"/>
          <w:szCs w:val="24"/>
          <w:u w:val="single"/>
        </w:rPr>
      </w:pP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 xml:space="preserve">ENCERRAMENTO DA SESSÃO: </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lastRenderedPageBreak/>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pStyle w:val="PargrafodaLista"/>
        <w:numPr>
          <w:ilvl w:val="2"/>
          <w:numId w:val="54"/>
        </w:numPr>
        <w:tabs>
          <w:tab w:val="left" w:pos="284"/>
        </w:tabs>
        <w:suppressAutoHyphens/>
        <w:spacing w:after="0" w:line="240" w:lineRule="auto"/>
        <w:jc w:val="both"/>
        <w:rPr>
          <w:rFonts w:ascii="Cambria" w:hAnsi="Cambria"/>
          <w:sz w:val="24"/>
          <w:szCs w:val="24"/>
        </w:rPr>
      </w:pPr>
      <w:r>
        <w:rPr>
          <w:rFonts w:ascii="Cambria" w:hAnsi="Cambria"/>
          <w:sz w:val="24"/>
          <w:szCs w:val="24"/>
        </w:rPr>
        <w:t>Para as publicações quanto resultados do certame, instrução do feito e deliberações quanto aos proclames de julgamento;</w:t>
      </w:r>
    </w:p>
    <w:p>
      <w:pPr>
        <w:pStyle w:val="PargrafodaLista"/>
        <w:numPr>
          <w:ilvl w:val="2"/>
          <w:numId w:val="54"/>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À Assessoria Jurídica, para fins de análise e parecer jurídico;</w:t>
      </w:r>
    </w:p>
    <w:p>
      <w:pPr>
        <w:pStyle w:val="PargrafodaLista"/>
        <w:numPr>
          <w:ilvl w:val="2"/>
          <w:numId w:val="54"/>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E depois à(s) autoridades(s) competentes para homologação e subsequente formalização de Contrato(s).</w:t>
      </w:r>
    </w:p>
    <w:p>
      <w:pPr>
        <w:autoSpaceDE w:val="0"/>
        <w:autoSpaceDN w:val="0"/>
        <w:adjustRightInd w:val="0"/>
        <w:jc w:val="both"/>
        <w:rPr>
          <w:rFonts w:ascii="Cambria" w:hAnsi="Cambria"/>
          <w:bCs/>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ADJUDICAÇÃO E HOMOLOGAÇÃO.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eastAsia="Calibri" w:hAnsi="Cambria"/>
          <w:noProof/>
          <w:sz w:val="24"/>
          <w:szCs w:val="24"/>
          <w:lang w:eastAsia="pt-BR"/>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autoridade competente poderá:</w:t>
      </w:r>
    </w:p>
    <w:p>
      <w:pPr>
        <w:pStyle w:val="PargrafodaLista"/>
        <w:numPr>
          <w:ilvl w:val="2"/>
          <w:numId w:val="55"/>
        </w:numPr>
        <w:tabs>
          <w:tab w:val="left" w:pos="284"/>
        </w:tabs>
        <w:suppressAutoHyphens/>
        <w:spacing w:after="0" w:line="240" w:lineRule="auto"/>
        <w:jc w:val="both"/>
        <w:rPr>
          <w:rFonts w:ascii="Cambria" w:hAnsi="Cambria"/>
          <w:sz w:val="24"/>
          <w:szCs w:val="24"/>
        </w:rPr>
      </w:pPr>
      <w:r>
        <w:rPr>
          <w:rFonts w:ascii="Cambria" w:hAnsi="Cambria"/>
          <w:sz w:val="24"/>
          <w:szCs w:val="24"/>
        </w:rPr>
        <w:t>anular o certame, total ou parcialmente, em razão de ilegalidade, determinando o aproveitamento dos atos não viciados; ou,</w:t>
      </w:r>
    </w:p>
    <w:p>
      <w:pPr>
        <w:pStyle w:val="PargrafodaLista"/>
        <w:numPr>
          <w:ilvl w:val="2"/>
          <w:numId w:val="55"/>
        </w:numPr>
        <w:tabs>
          <w:tab w:val="left" w:pos="284"/>
        </w:tabs>
        <w:suppressAutoHyphens/>
        <w:spacing w:after="0" w:line="240" w:lineRule="auto"/>
        <w:ind w:left="0" w:firstLine="0"/>
        <w:jc w:val="both"/>
        <w:rPr>
          <w:rFonts w:ascii="Cambria" w:hAnsi="Cambria"/>
          <w:sz w:val="24"/>
          <w:szCs w:val="24"/>
        </w:rPr>
      </w:pPr>
      <w:r>
        <w:rPr>
          <w:rFonts w:ascii="Cambria" w:hAnsi="Cambria"/>
          <w:sz w:val="24"/>
          <w:szCs w:val="24"/>
        </w:rPr>
        <w:t>revogar o certame, total ou parcialmente, por razões de conveniência e oportunidade, à luz do interesse público primário tutelado.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adjudicação e ou a homologação do resultado desta licitação não implicará direito à contratação.</w:t>
      </w:r>
    </w:p>
    <w:p>
      <w:pPr>
        <w:pStyle w:val="PargrafodaLista"/>
        <w:tabs>
          <w:tab w:val="left" w:pos="284"/>
        </w:tabs>
        <w:ind w:left="0"/>
        <w:jc w:val="both"/>
        <w:rPr>
          <w:rFonts w:ascii="Cambria" w:hAnsi="Cambria"/>
          <w:sz w:val="24"/>
          <w:szCs w:val="24"/>
        </w:rPr>
      </w:pPr>
      <w:r>
        <w:rPr>
          <w:rFonts w:ascii="Cambria" w:hAnsi="Cambria"/>
          <w:sz w:val="24"/>
          <w:szCs w:val="24"/>
        </w:rPr>
        <w:t xml:space="preserve">a) Não havendo homologação do certame após decorridos </w:t>
      </w:r>
      <w:r>
        <w:rPr>
          <w:rFonts w:ascii="Cambria" w:hAnsi="Cambria"/>
          <w:b/>
          <w:bCs/>
          <w:sz w:val="24"/>
          <w:szCs w:val="24"/>
        </w:rPr>
        <w:t>60 (sessenta) dias</w:t>
      </w:r>
      <w:r>
        <w:rPr>
          <w:rFonts w:ascii="Cambria" w:hAnsi="Cambria"/>
          <w:sz w:val="24"/>
          <w:szCs w:val="24"/>
        </w:rPr>
        <w:t xml:space="preserve"> da data de abertura das propostas, fica(m) o(s) licitante(s) liberado(s) dos compromissos assumidos em sua(s) proposta(s).</w:t>
      </w:r>
    </w:p>
    <w:p>
      <w:pPr>
        <w:autoSpaceDE w:val="0"/>
        <w:autoSpaceDN w:val="0"/>
        <w:adjustRightInd w:val="0"/>
        <w:jc w:val="both"/>
        <w:rPr>
          <w:rFonts w:ascii="Cambria" w:hAnsi="Cambria"/>
          <w:bCs/>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DOTAÇÃO(ÕES) ORÇAMENTÁRIA(S)</w:t>
      </w:r>
    </w:p>
    <w:p>
      <w:pPr>
        <w:ind w:left="-1134"/>
        <w:rPr>
          <w:rFonts w:ascii="Cambria" w:hAnsi="Cambria"/>
          <w:sz w:val="24"/>
          <w:szCs w:val="24"/>
        </w:rPr>
      </w:pPr>
    </w:p>
    <w:p>
      <w:pPr>
        <w:suppressAutoHyphens/>
        <w:jc w:val="both"/>
        <w:rPr>
          <w:rFonts w:ascii="Cambria" w:hAnsi="Cambria"/>
          <w:b/>
          <w:bCs/>
          <w:sz w:val="22"/>
          <w:szCs w:val="22"/>
          <w:lang w:eastAsia="zh-CN"/>
        </w:rPr>
      </w:pPr>
      <w:r>
        <w:rPr>
          <w:rFonts w:ascii="Cambria" w:hAnsi="Cambria"/>
          <w:b/>
          <w:bCs/>
          <w:sz w:val="22"/>
          <w:szCs w:val="22"/>
          <w:lang w:eastAsia="zh-CN"/>
        </w:rPr>
        <w:t>Secretaria de Agricultura e Meio Ambiente:</w:t>
      </w:r>
    </w:p>
    <w:p>
      <w:pPr>
        <w:suppressAutoHyphens/>
        <w:jc w:val="both"/>
        <w:rPr>
          <w:rFonts w:ascii="Cambria" w:hAnsi="Cambria"/>
          <w:sz w:val="22"/>
          <w:szCs w:val="22"/>
          <w:lang w:eastAsia="zh-CN"/>
        </w:rPr>
      </w:pPr>
      <w:r>
        <w:rPr>
          <w:rFonts w:ascii="Cambria" w:hAnsi="Cambria"/>
          <w:sz w:val="22"/>
          <w:szCs w:val="22"/>
          <w:lang w:eastAsia="zh-CN"/>
        </w:rPr>
        <w:t>UNID. ORÇAMENTÁRIA 0601 – Secretaria Municipal de Agricultura e Meio Ambiente</w:t>
      </w:r>
    </w:p>
    <w:p>
      <w:pPr>
        <w:suppressAutoHyphens/>
        <w:jc w:val="both"/>
        <w:rPr>
          <w:rFonts w:ascii="Cambria" w:hAnsi="Cambria"/>
          <w:sz w:val="22"/>
          <w:szCs w:val="22"/>
          <w:lang w:eastAsia="zh-CN"/>
        </w:rPr>
      </w:pPr>
      <w:r>
        <w:rPr>
          <w:rFonts w:ascii="Cambria" w:hAnsi="Cambria"/>
          <w:sz w:val="22"/>
          <w:szCs w:val="22"/>
          <w:lang w:eastAsia="zh-CN"/>
        </w:rPr>
        <w:t>DOTAÇÕES ORÇAMENTÁRIAS: 20.122.0014.2.038 – Funcionamento da Secretaria Municipal de Agricultura e Meio Ambiente</w:t>
      </w:r>
    </w:p>
    <w:p>
      <w:pPr>
        <w:suppressAutoHyphens/>
        <w:jc w:val="both"/>
        <w:rPr>
          <w:rFonts w:ascii="Cambria" w:hAnsi="Cambria"/>
          <w:sz w:val="22"/>
          <w:szCs w:val="22"/>
          <w:lang w:eastAsia="zh-CN"/>
        </w:rPr>
      </w:pPr>
      <w:r>
        <w:rPr>
          <w:rFonts w:ascii="Cambria" w:hAnsi="Cambria"/>
          <w:sz w:val="22"/>
          <w:szCs w:val="22"/>
          <w:lang w:eastAsia="zh-CN"/>
        </w:rPr>
        <w:t xml:space="preserve">ELEMENTO DESPESA: </w:t>
      </w:r>
      <w:r>
        <w:rPr>
          <w:rFonts w:ascii="Cambria" w:hAnsi="Cambria" w:cstheme="minorHAnsi"/>
          <w:bCs/>
          <w:sz w:val="22"/>
          <w:szCs w:val="22"/>
        </w:rPr>
        <w:t>3.3.90.39.90 –</w:t>
      </w:r>
      <w:r>
        <w:rPr>
          <w:rFonts w:ascii="Cambria" w:hAnsi="Cambria" w:cstheme="minorHAnsi"/>
          <w:b/>
          <w:bCs/>
          <w:sz w:val="22"/>
          <w:szCs w:val="22"/>
        </w:rPr>
        <w:t xml:space="preserve"> </w:t>
      </w:r>
      <w:r>
        <w:rPr>
          <w:rFonts w:ascii="Cambria" w:hAnsi="Cambria" w:cstheme="minorHAnsi"/>
          <w:bCs/>
          <w:sz w:val="22"/>
          <w:szCs w:val="22"/>
        </w:rPr>
        <w:t>Outros serviços de terceiros/PJ</w:t>
      </w:r>
    </w:p>
    <w:p>
      <w:pPr>
        <w:suppressAutoHyphens/>
        <w:jc w:val="both"/>
        <w:rPr>
          <w:rFonts w:ascii="Cambria" w:hAnsi="Cambria"/>
          <w:b/>
          <w:bCs/>
          <w:sz w:val="22"/>
          <w:szCs w:val="22"/>
          <w:lang w:eastAsia="zh-CN"/>
        </w:rPr>
      </w:pPr>
      <w:r>
        <w:rPr>
          <w:rFonts w:ascii="Cambria" w:hAnsi="Cambria"/>
          <w:sz w:val="22"/>
          <w:szCs w:val="22"/>
          <w:lang w:eastAsia="zh-CN"/>
        </w:rPr>
        <w:t>FONTES: 1500000000</w:t>
      </w:r>
    </w:p>
    <w:p>
      <w:pPr>
        <w:suppressAutoHyphens/>
        <w:jc w:val="both"/>
        <w:rPr>
          <w:rFonts w:ascii="Cambria" w:hAnsi="Cambria"/>
          <w:b/>
          <w:bCs/>
          <w:sz w:val="22"/>
          <w:szCs w:val="22"/>
          <w:lang w:eastAsia="zh-CN"/>
        </w:rPr>
      </w:pPr>
      <w:r>
        <w:rPr>
          <w:rFonts w:ascii="Cambria" w:hAnsi="Cambria"/>
          <w:b/>
          <w:bCs/>
          <w:sz w:val="22"/>
          <w:szCs w:val="22"/>
          <w:lang w:eastAsia="zh-CN"/>
        </w:rPr>
        <w:t>Secretaria Municipal de Educação:</w:t>
      </w:r>
    </w:p>
    <w:p>
      <w:pPr>
        <w:suppressAutoHyphens/>
        <w:jc w:val="both"/>
        <w:rPr>
          <w:rFonts w:ascii="Cambria" w:hAnsi="Cambria"/>
          <w:sz w:val="22"/>
          <w:szCs w:val="22"/>
          <w:lang w:eastAsia="zh-CN"/>
        </w:rPr>
      </w:pPr>
      <w:r>
        <w:rPr>
          <w:rFonts w:ascii="Cambria" w:hAnsi="Cambria"/>
          <w:sz w:val="22"/>
          <w:szCs w:val="22"/>
          <w:lang w:eastAsia="zh-CN"/>
        </w:rPr>
        <w:t>UNID. ORÇAMENTÁRIA 1001 – Secretaria Municipal de Educação</w:t>
      </w:r>
    </w:p>
    <w:p>
      <w:pPr>
        <w:suppressAutoHyphens/>
        <w:jc w:val="both"/>
        <w:rPr>
          <w:rFonts w:ascii="Cambria" w:hAnsi="Cambria"/>
          <w:sz w:val="22"/>
          <w:szCs w:val="22"/>
          <w:lang w:eastAsia="zh-CN"/>
        </w:rPr>
      </w:pPr>
      <w:r>
        <w:rPr>
          <w:rFonts w:ascii="Cambria" w:hAnsi="Cambria"/>
          <w:sz w:val="22"/>
          <w:szCs w:val="22"/>
          <w:lang w:eastAsia="zh-CN"/>
        </w:rPr>
        <w:t>DOTAÇÕES ORÇAMENTÁRIAS: 12.122.0014.2.049 – Funcionamento da Secretaria Municipal de Educação.</w:t>
      </w:r>
    </w:p>
    <w:p>
      <w:pPr>
        <w:suppressAutoHyphens/>
        <w:jc w:val="both"/>
        <w:rPr>
          <w:rFonts w:ascii="Cambria" w:hAnsi="Cambria"/>
          <w:sz w:val="22"/>
          <w:szCs w:val="22"/>
          <w:lang w:eastAsia="zh-CN"/>
        </w:rPr>
      </w:pPr>
      <w:r>
        <w:rPr>
          <w:rFonts w:ascii="Cambria" w:hAnsi="Cambria"/>
          <w:sz w:val="22"/>
          <w:szCs w:val="22"/>
          <w:lang w:eastAsia="zh-CN"/>
        </w:rPr>
        <w:t xml:space="preserve">ELEMENTO DESPESA: </w:t>
      </w:r>
      <w:r>
        <w:rPr>
          <w:rFonts w:ascii="Cambria" w:hAnsi="Cambria" w:cstheme="minorHAnsi"/>
          <w:bCs/>
          <w:sz w:val="22"/>
          <w:szCs w:val="22"/>
        </w:rPr>
        <w:t>3.3.90.39.90 –</w:t>
      </w:r>
      <w:r>
        <w:rPr>
          <w:rFonts w:ascii="Cambria" w:hAnsi="Cambria" w:cstheme="minorHAnsi"/>
          <w:b/>
          <w:bCs/>
          <w:sz w:val="22"/>
          <w:szCs w:val="22"/>
        </w:rPr>
        <w:t xml:space="preserve"> </w:t>
      </w:r>
      <w:r>
        <w:rPr>
          <w:rFonts w:ascii="Cambria" w:hAnsi="Cambria" w:cstheme="minorHAnsi"/>
          <w:bCs/>
          <w:sz w:val="22"/>
          <w:szCs w:val="22"/>
        </w:rPr>
        <w:t>Outros serviços de terceiros/PJ</w:t>
      </w:r>
    </w:p>
    <w:p>
      <w:pPr>
        <w:suppressAutoHyphens/>
        <w:jc w:val="both"/>
        <w:rPr>
          <w:rFonts w:ascii="Cambria" w:hAnsi="Cambria"/>
          <w:b/>
          <w:bCs/>
          <w:sz w:val="22"/>
          <w:szCs w:val="22"/>
          <w:lang w:eastAsia="zh-CN"/>
        </w:rPr>
      </w:pPr>
      <w:r>
        <w:rPr>
          <w:rFonts w:ascii="Cambria" w:hAnsi="Cambria"/>
          <w:sz w:val="22"/>
          <w:szCs w:val="22"/>
          <w:lang w:eastAsia="zh-CN"/>
        </w:rPr>
        <w:t>FONTES: 1500100100</w:t>
      </w:r>
    </w:p>
    <w:p>
      <w:pPr>
        <w:suppressAutoHyphens/>
        <w:jc w:val="both"/>
        <w:rPr>
          <w:rFonts w:ascii="Cambria" w:hAnsi="Cambria"/>
          <w:b/>
          <w:bCs/>
          <w:sz w:val="22"/>
          <w:szCs w:val="22"/>
          <w:lang w:eastAsia="zh-CN"/>
        </w:rPr>
      </w:pPr>
      <w:r>
        <w:rPr>
          <w:rFonts w:ascii="Cambria" w:hAnsi="Cambria"/>
          <w:b/>
          <w:bCs/>
          <w:sz w:val="22"/>
          <w:szCs w:val="22"/>
          <w:lang w:eastAsia="zh-CN"/>
        </w:rPr>
        <w:lastRenderedPageBreak/>
        <w:t>Chefe do Gabinete da Prefeita:</w:t>
      </w:r>
    </w:p>
    <w:p>
      <w:pPr>
        <w:suppressAutoHyphens/>
        <w:jc w:val="both"/>
        <w:rPr>
          <w:rFonts w:ascii="Cambria" w:hAnsi="Cambria"/>
          <w:sz w:val="22"/>
          <w:szCs w:val="22"/>
          <w:lang w:eastAsia="zh-CN"/>
        </w:rPr>
      </w:pPr>
      <w:r>
        <w:rPr>
          <w:rFonts w:ascii="Cambria" w:hAnsi="Cambria"/>
          <w:sz w:val="22"/>
          <w:szCs w:val="22"/>
          <w:lang w:eastAsia="zh-CN"/>
        </w:rPr>
        <w:t>UNID. ORÇAMENTÁRIA 0101 – Gabinete do Prefeito</w:t>
      </w:r>
    </w:p>
    <w:p>
      <w:pPr>
        <w:suppressAutoHyphens/>
        <w:jc w:val="both"/>
        <w:rPr>
          <w:rFonts w:ascii="Cambria" w:hAnsi="Cambria"/>
          <w:sz w:val="22"/>
          <w:szCs w:val="22"/>
          <w:lang w:eastAsia="zh-CN"/>
        </w:rPr>
      </w:pPr>
      <w:r>
        <w:rPr>
          <w:rFonts w:ascii="Cambria" w:hAnsi="Cambria"/>
          <w:sz w:val="22"/>
          <w:szCs w:val="22"/>
          <w:lang w:eastAsia="zh-CN"/>
        </w:rPr>
        <w:t>DOTAÇÕES ORÇAMENTÁRIAS: 04.122.0014.2.002 - Funcionamento do Gabinete do Prefeito</w:t>
      </w:r>
    </w:p>
    <w:p>
      <w:pPr>
        <w:suppressAutoHyphens/>
        <w:jc w:val="both"/>
        <w:rPr>
          <w:rFonts w:ascii="Cambria" w:hAnsi="Cambria"/>
          <w:sz w:val="22"/>
          <w:szCs w:val="22"/>
          <w:lang w:eastAsia="zh-CN"/>
        </w:rPr>
      </w:pPr>
      <w:r>
        <w:rPr>
          <w:rFonts w:ascii="Cambria" w:hAnsi="Cambria"/>
          <w:sz w:val="22"/>
          <w:szCs w:val="22"/>
          <w:lang w:eastAsia="zh-CN"/>
        </w:rPr>
        <w:t xml:space="preserve">ELEMENTO DESPESA: </w:t>
      </w:r>
      <w:r>
        <w:rPr>
          <w:rFonts w:ascii="Cambria" w:hAnsi="Cambria" w:cstheme="minorHAnsi"/>
          <w:bCs/>
          <w:sz w:val="22"/>
          <w:szCs w:val="22"/>
        </w:rPr>
        <w:t>3.3.90.39.90 –</w:t>
      </w:r>
      <w:r>
        <w:rPr>
          <w:rFonts w:ascii="Cambria" w:hAnsi="Cambria" w:cstheme="minorHAnsi"/>
          <w:b/>
          <w:bCs/>
          <w:sz w:val="22"/>
          <w:szCs w:val="22"/>
        </w:rPr>
        <w:t xml:space="preserve"> </w:t>
      </w:r>
      <w:r>
        <w:rPr>
          <w:rFonts w:ascii="Cambria" w:hAnsi="Cambria" w:cstheme="minorHAnsi"/>
          <w:bCs/>
          <w:sz w:val="22"/>
          <w:szCs w:val="22"/>
        </w:rPr>
        <w:t>Outros serviços de terceiros/PJ</w:t>
      </w:r>
    </w:p>
    <w:p>
      <w:pPr>
        <w:suppressAutoHyphens/>
        <w:jc w:val="both"/>
        <w:rPr>
          <w:rFonts w:ascii="Cambria" w:hAnsi="Cambria"/>
          <w:b/>
          <w:bCs/>
          <w:sz w:val="22"/>
          <w:szCs w:val="22"/>
          <w:lang w:eastAsia="zh-CN"/>
        </w:rPr>
      </w:pPr>
      <w:r>
        <w:rPr>
          <w:rFonts w:ascii="Cambria" w:hAnsi="Cambria"/>
          <w:sz w:val="22"/>
          <w:szCs w:val="22"/>
          <w:lang w:eastAsia="zh-CN"/>
        </w:rPr>
        <w:t>FONTES: 1500000000</w:t>
      </w:r>
    </w:p>
    <w:p>
      <w:pPr>
        <w:suppressAutoHyphens/>
        <w:jc w:val="both"/>
        <w:rPr>
          <w:rFonts w:ascii="Cambria" w:hAnsi="Cambria"/>
          <w:b/>
          <w:bCs/>
          <w:sz w:val="22"/>
          <w:szCs w:val="22"/>
          <w:lang w:eastAsia="zh-CN"/>
        </w:rPr>
      </w:pPr>
      <w:r>
        <w:rPr>
          <w:rFonts w:ascii="Cambria" w:hAnsi="Cambria"/>
          <w:b/>
          <w:bCs/>
          <w:sz w:val="22"/>
          <w:szCs w:val="22"/>
          <w:lang w:eastAsia="zh-CN"/>
        </w:rPr>
        <w:t xml:space="preserve">Secretaria de Infraestrutura e Serviços Públicos: </w:t>
      </w:r>
    </w:p>
    <w:p>
      <w:pPr>
        <w:suppressAutoHyphens/>
        <w:jc w:val="both"/>
        <w:rPr>
          <w:rFonts w:ascii="Cambria" w:hAnsi="Cambria"/>
          <w:sz w:val="22"/>
          <w:szCs w:val="22"/>
          <w:lang w:eastAsia="zh-CN"/>
        </w:rPr>
      </w:pPr>
      <w:r>
        <w:rPr>
          <w:rFonts w:ascii="Cambria" w:hAnsi="Cambria"/>
          <w:sz w:val="22"/>
          <w:szCs w:val="22"/>
          <w:lang w:eastAsia="zh-CN"/>
        </w:rPr>
        <w:t>UNID. ORÇAMENTÁRIA 0701 – Secretaria de Infraestrutura e Serviços Públicos</w:t>
      </w:r>
    </w:p>
    <w:p>
      <w:pPr>
        <w:suppressAutoHyphens/>
        <w:jc w:val="both"/>
        <w:rPr>
          <w:rFonts w:ascii="Cambria" w:hAnsi="Cambria"/>
          <w:sz w:val="22"/>
          <w:szCs w:val="22"/>
          <w:lang w:eastAsia="zh-CN"/>
        </w:rPr>
      </w:pPr>
      <w:r>
        <w:rPr>
          <w:rFonts w:ascii="Cambria" w:hAnsi="Cambria"/>
          <w:sz w:val="22"/>
          <w:szCs w:val="22"/>
          <w:lang w:eastAsia="zh-CN"/>
        </w:rPr>
        <w:t>DOTAÇÕES ORÇAMENTÁRIAS: 451.0014.2.044 – Funcionamento da Secretaria Municipal de Infraestrutura e Serviços Públicos.</w:t>
      </w:r>
    </w:p>
    <w:p>
      <w:pPr>
        <w:suppressAutoHyphens/>
        <w:jc w:val="both"/>
        <w:rPr>
          <w:rFonts w:ascii="Cambria" w:hAnsi="Cambria"/>
          <w:sz w:val="22"/>
          <w:szCs w:val="22"/>
          <w:lang w:eastAsia="zh-CN"/>
        </w:rPr>
      </w:pPr>
      <w:r>
        <w:rPr>
          <w:rFonts w:ascii="Cambria" w:hAnsi="Cambria"/>
          <w:sz w:val="22"/>
          <w:szCs w:val="22"/>
          <w:lang w:eastAsia="zh-CN"/>
        </w:rPr>
        <w:t xml:space="preserve">ELEMENTO DESPESA: </w:t>
      </w:r>
      <w:r>
        <w:rPr>
          <w:rFonts w:ascii="Cambria" w:hAnsi="Cambria" w:cstheme="minorHAnsi"/>
          <w:bCs/>
          <w:sz w:val="22"/>
          <w:szCs w:val="22"/>
        </w:rPr>
        <w:t>3.3.90.39.90 –</w:t>
      </w:r>
      <w:r>
        <w:rPr>
          <w:rFonts w:ascii="Cambria" w:hAnsi="Cambria" w:cstheme="minorHAnsi"/>
          <w:b/>
          <w:bCs/>
          <w:sz w:val="22"/>
          <w:szCs w:val="22"/>
        </w:rPr>
        <w:t xml:space="preserve"> </w:t>
      </w:r>
      <w:r>
        <w:rPr>
          <w:rFonts w:ascii="Cambria" w:hAnsi="Cambria" w:cstheme="minorHAnsi"/>
          <w:bCs/>
          <w:sz w:val="22"/>
          <w:szCs w:val="22"/>
        </w:rPr>
        <w:t>Outros serviços de terceiros/PJ</w:t>
      </w:r>
    </w:p>
    <w:p>
      <w:pPr>
        <w:suppressAutoHyphens/>
        <w:jc w:val="both"/>
        <w:rPr>
          <w:rFonts w:ascii="Cambria" w:hAnsi="Cambria"/>
          <w:b/>
          <w:bCs/>
          <w:sz w:val="22"/>
          <w:szCs w:val="22"/>
          <w:lang w:eastAsia="zh-CN"/>
        </w:rPr>
      </w:pPr>
      <w:r>
        <w:rPr>
          <w:rFonts w:ascii="Cambria" w:hAnsi="Cambria"/>
          <w:sz w:val="22"/>
          <w:szCs w:val="22"/>
          <w:lang w:eastAsia="zh-CN"/>
        </w:rPr>
        <w:t>FONTES: 1500000000</w:t>
      </w:r>
    </w:p>
    <w:p>
      <w:pPr>
        <w:suppressAutoHyphens/>
        <w:jc w:val="both"/>
        <w:rPr>
          <w:rFonts w:ascii="Cambria" w:hAnsi="Cambria"/>
          <w:b/>
          <w:bCs/>
          <w:sz w:val="22"/>
          <w:szCs w:val="22"/>
          <w:lang w:eastAsia="zh-CN"/>
        </w:rPr>
      </w:pPr>
      <w:r>
        <w:rPr>
          <w:rFonts w:ascii="Cambria" w:hAnsi="Cambria"/>
          <w:b/>
          <w:bCs/>
          <w:sz w:val="22"/>
          <w:szCs w:val="22"/>
          <w:lang w:eastAsia="zh-CN"/>
        </w:rPr>
        <w:t>Secretaria Municipal de Saúde:</w:t>
      </w:r>
    </w:p>
    <w:p>
      <w:pPr>
        <w:suppressAutoHyphens/>
        <w:jc w:val="both"/>
        <w:rPr>
          <w:rFonts w:ascii="Cambria" w:hAnsi="Cambria"/>
          <w:sz w:val="22"/>
          <w:szCs w:val="22"/>
          <w:lang w:eastAsia="zh-CN"/>
        </w:rPr>
      </w:pPr>
      <w:r>
        <w:rPr>
          <w:rFonts w:ascii="Cambria" w:hAnsi="Cambria"/>
          <w:sz w:val="22"/>
          <w:szCs w:val="22"/>
          <w:lang w:eastAsia="zh-CN"/>
        </w:rPr>
        <w:t>UNID. ORÇAMENTÁRIA 0401 – Secretaria de Saúde</w:t>
      </w:r>
    </w:p>
    <w:p>
      <w:pPr>
        <w:suppressAutoHyphens/>
        <w:jc w:val="both"/>
        <w:rPr>
          <w:rFonts w:ascii="Cambria" w:hAnsi="Cambria"/>
          <w:sz w:val="22"/>
          <w:szCs w:val="22"/>
          <w:lang w:eastAsia="zh-CN"/>
        </w:rPr>
      </w:pPr>
      <w:r>
        <w:rPr>
          <w:rFonts w:ascii="Cambria" w:hAnsi="Cambria"/>
          <w:sz w:val="22"/>
          <w:szCs w:val="22"/>
          <w:lang w:eastAsia="zh-CN"/>
        </w:rPr>
        <w:t>DOTAÇÕES ORÇAMENTÁRIAS: 10.122.0014.1.008 – Recursos Próprios – Secretaria de Saúde</w:t>
      </w:r>
    </w:p>
    <w:p>
      <w:pPr>
        <w:suppressAutoHyphens/>
        <w:jc w:val="both"/>
        <w:rPr>
          <w:rFonts w:ascii="Cambria" w:hAnsi="Cambria"/>
          <w:sz w:val="22"/>
          <w:szCs w:val="22"/>
          <w:lang w:eastAsia="zh-CN"/>
        </w:rPr>
      </w:pPr>
      <w:r>
        <w:rPr>
          <w:rFonts w:ascii="Cambria" w:hAnsi="Cambria"/>
          <w:sz w:val="22"/>
          <w:szCs w:val="22"/>
          <w:lang w:eastAsia="zh-CN"/>
        </w:rPr>
        <w:t xml:space="preserve">ELEMENTO DESPESA: </w:t>
      </w:r>
      <w:r>
        <w:rPr>
          <w:rFonts w:ascii="Cambria" w:hAnsi="Cambria" w:cstheme="minorHAnsi"/>
          <w:bCs/>
          <w:sz w:val="22"/>
          <w:szCs w:val="22"/>
        </w:rPr>
        <w:t>3.3.90.39.90 –</w:t>
      </w:r>
      <w:r>
        <w:rPr>
          <w:rFonts w:ascii="Cambria" w:hAnsi="Cambria" w:cstheme="minorHAnsi"/>
          <w:b/>
          <w:bCs/>
          <w:sz w:val="22"/>
          <w:szCs w:val="22"/>
        </w:rPr>
        <w:t xml:space="preserve"> </w:t>
      </w:r>
      <w:r>
        <w:rPr>
          <w:rFonts w:ascii="Cambria" w:hAnsi="Cambria" w:cstheme="minorHAnsi"/>
          <w:bCs/>
          <w:sz w:val="22"/>
          <w:szCs w:val="22"/>
        </w:rPr>
        <w:t>Outros serviços de terceiros/PJ</w:t>
      </w:r>
    </w:p>
    <w:p>
      <w:pPr>
        <w:jc w:val="both"/>
        <w:rPr>
          <w:rFonts w:ascii="Cambria" w:hAnsi="Cambria"/>
          <w:b/>
          <w:bCs/>
          <w:sz w:val="22"/>
          <w:szCs w:val="22"/>
          <w:lang w:eastAsia="zh-CN"/>
        </w:rPr>
      </w:pPr>
      <w:r>
        <w:rPr>
          <w:rFonts w:ascii="Cambria" w:hAnsi="Cambria"/>
          <w:sz w:val="22"/>
          <w:szCs w:val="22"/>
          <w:lang w:eastAsia="zh-CN"/>
        </w:rPr>
        <w:t>FONTES: 1500100200</w:t>
      </w:r>
    </w:p>
    <w:p>
      <w:pPr>
        <w:tabs>
          <w:tab w:val="left" w:pos="567"/>
        </w:tabs>
        <w:jc w:val="both"/>
        <w:rPr>
          <w:rFonts w:ascii="Cambria" w:hAnsi="Cambria"/>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FORMALIZAÇÃO DAS CONTRATAÇÕES</w:t>
      </w: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DO INSTRUMENTO CONTRATUAL:</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Administração convocará o adjudicatário para assinatura, mediante correspondência meio eletrônico para que seja assinado no prazo de 05(cinco) dias, a contar da data de seu recebimento da convocação, sob pena de decair do direito à contratação, sem prejuízo das sanções previstas neste Edital.</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 prazo previsto no subitem anterior poderá ser prorrogado, por igual período, por solicitação justificada do adjudicatário e aceita pela Administração.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Na formalização do contrato ou do instrumento substituto deverá haver a indicação da disponibilidade dos créditos orçamentários respectivos.</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Incumbirá à Administração providenciar a publicação do extrato do contrato nos termos do parágrafo único art. 61 da Lei nº 14.133/2021 de 1º de abril de 2021.</w:t>
      </w:r>
    </w:p>
    <w:p>
      <w:pPr>
        <w:pStyle w:val="Corpodetexto"/>
        <w:tabs>
          <w:tab w:val="left" w:pos="-1701"/>
          <w:tab w:val="left" w:pos="809"/>
        </w:tabs>
        <w:rPr>
          <w:rFonts w:ascii="Cambria" w:hAnsi="Cambria"/>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b/>
          <w:bCs/>
          <w:sz w:val="24"/>
          <w:szCs w:val="24"/>
          <w:u w:val="single"/>
        </w:rPr>
      </w:pPr>
      <w:r>
        <w:rPr>
          <w:rFonts w:ascii="Cambria" w:hAnsi="Cambria"/>
          <w:b/>
          <w:bCs/>
          <w:sz w:val="24"/>
          <w:szCs w:val="24"/>
          <w:u w:val="single"/>
        </w:rPr>
        <w:t>DA MANUTENÇÃO DAS CONDIÇÕES DE HABILITAÇÃO E DAS IMPLICAÇÕES POR NÃO ATENDIMENTO A CONVOCAÇÃO: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PargrafodaLista"/>
        <w:tabs>
          <w:tab w:val="left" w:pos="567"/>
        </w:tabs>
        <w:suppressAutoHyphens/>
        <w:spacing w:after="0" w:line="240" w:lineRule="auto"/>
        <w:ind w:left="0"/>
        <w:jc w:val="both"/>
        <w:rPr>
          <w:rFonts w:ascii="Cambria" w:hAnsi="Cambria"/>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 PAGAMENTO E DEMAIS CONDIÇÕES DO OBJETO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As condições de pagamento, obrigações, detalhamentos e demais especificidades quanto ao objeto e não abordados na parte geral desse edital, serão aquelas constantes do Termo de Referências e seus anexos. </w:t>
      </w:r>
    </w:p>
    <w:p>
      <w:pPr>
        <w:pStyle w:val="Corpodetexto"/>
        <w:tabs>
          <w:tab w:val="left" w:pos="-1701"/>
          <w:tab w:val="left" w:pos="809"/>
        </w:tabs>
        <w:rPr>
          <w:rFonts w:ascii="Cambria" w:hAnsi="Cambria"/>
          <w:sz w:val="24"/>
          <w:szCs w:val="24"/>
        </w:rPr>
      </w:pPr>
    </w:p>
    <w:p>
      <w:pPr>
        <w:pStyle w:val="Ttulo1"/>
        <w:keepNext w:val="0"/>
        <w:keepLines w:val="0"/>
        <w:numPr>
          <w:ilvl w:val="0"/>
          <w:numId w:val="20"/>
        </w:numPr>
        <w:tabs>
          <w:tab w:val="left" w:pos="426"/>
        </w:tabs>
        <w:suppressAutoHyphens/>
        <w:spacing w:before="0" w:after="0" w:line="240" w:lineRule="auto"/>
        <w:ind w:left="284"/>
        <w:contextualSpacing/>
        <w:jc w:val="both"/>
        <w:rPr>
          <w:rFonts w:ascii="Cambria" w:hAnsi="Cambria" w:cs="Times New Roman"/>
          <w:b/>
          <w:color w:val="auto"/>
          <w:sz w:val="24"/>
          <w:szCs w:val="24"/>
        </w:rPr>
      </w:pPr>
      <w:r>
        <w:rPr>
          <w:rFonts w:ascii="Cambria" w:hAnsi="Cambria" w:cs="Times New Roman"/>
          <w:b/>
          <w:color w:val="auto"/>
          <w:sz w:val="24"/>
          <w:szCs w:val="24"/>
        </w:rPr>
        <w:lastRenderedPageBreak/>
        <w:t>DAS INFRAÇÕES E SANÇÕES</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Ficarão sujeitos às penalidades previstas na Lei n.º 12.846/2013 aqueles que cometerem atos lesivos à administração pública, assim definidos, no tocante a licitações e contratos:</w:t>
      </w:r>
    </w:p>
    <w:p>
      <w:pPr>
        <w:pStyle w:val="PargrafodaLista"/>
        <w:numPr>
          <w:ilvl w:val="2"/>
          <w:numId w:val="56"/>
        </w:numPr>
        <w:tabs>
          <w:tab w:val="left" w:pos="284"/>
          <w:tab w:val="left" w:pos="851"/>
          <w:tab w:val="left" w:pos="1276"/>
          <w:tab w:val="left" w:pos="2525"/>
          <w:tab w:val="center" w:pos="4873"/>
        </w:tabs>
        <w:spacing w:after="0" w:line="240" w:lineRule="auto"/>
        <w:jc w:val="both"/>
        <w:rPr>
          <w:rFonts w:ascii="Cambria" w:hAnsi="Cambria"/>
          <w:bCs/>
          <w:sz w:val="24"/>
          <w:szCs w:val="24"/>
        </w:rPr>
      </w:pPr>
      <w:r>
        <w:rPr>
          <w:rFonts w:ascii="Cambria" w:hAnsi="Cambria"/>
          <w:bCs/>
          <w:sz w:val="24"/>
          <w:szCs w:val="24"/>
        </w:rPr>
        <w:t xml:space="preserve">frustrar ou fraudar, mediante ajuste, combinação ou qualquer outro expediente, o caráter competitivo de procedimento licitatório público;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impedir, perturbar ou fraudar a realização de qualquer ato de procedimento licitatório público;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afastar ou procurar afastar licitante, por meio de fraude ou oferecimento de vantagem de qualquer tipo;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fraudar licitação pública ou contrato dela decorrente;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criar, de modo fraudulento ou irregular, pessoa jurídica para participar de licitação pública ou celebrar contrato administrativo;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56"/>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manipular ou fraudar o equilíbrio econômico-financeiro dos contratos celebrados com a administração pública.</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Comete infração administrativa, nos termos da </w:t>
      </w:r>
      <w:hyperlink r:id="rId43" w:history="1">
        <w:r>
          <w:rPr>
            <w:rFonts w:ascii="Cambria" w:hAnsi="Cambria"/>
            <w:sz w:val="24"/>
            <w:szCs w:val="24"/>
          </w:rPr>
          <w:t>Lei nº 14.133, de 2021</w:t>
        </w:r>
      </w:hyperlink>
      <w:r>
        <w:rPr>
          <w:rFonts w:ascii="Cambria" w:hAnsi="Cambria"/>
          <w:sz w:val="24"/>
          <w:szCs w:val="24"/>
        </w:rPr>
        <w:t>, o licitante/adjudicatário que, com dolo ou culpa:</w:t>
      </w:r>
    </w:p>
    <w:p>
      <w:pPr>
        <w:pStyle w:val="PargrafodaLista"/>
        <w:numPr>
          <w:ilvl w:val="2"/>
          <w:numId w:val="57"/>
        </w:numPr>
        <w:tabs>
          <w:tab w:val="left" w:pos="284"/>
          <w:tab w:val="left" w:pos="851"/>
          <w:tab w:val="left" w:pos="1276"/>
          <w:tab w:val="left" w:pos="2525"/>
          <w:tab w:val="center" w:pos="4873"/>
        </w:tabs>
        <w:spacing w:after="0" w:line="240" w:lineRule="auto"/>
        <w:jc w:val="both"/>
        <w:rPr>
          <w:rFonts w:ascii="Cambria" w:hAnsi="Cambria"/>
          <w:bCs/>
          <w:sz w:val="24"/>
          <w:szCs w:val="24"/>
        </w:rPr>
      </w:pPr>
      <w:r>
        <w:rPr>
          <w:rFonts w:ascii="Cambria" w:hAnsi="Cambria"/>
          <w:bCs/>
          <w:sz w:val="24"/>
          <w:szCs w:val="24"/>
        </w:rPr>
        <w:t>deixar de entregar a documentação exigida para o certame ou não entregar qualquer documento que tenha sido solicitado pelo/a pregoeiro/a durante o certame;</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b.4) deixar de apresentar amostra;</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b.5) apresentar proposta ou amostra em desacordo com as especificações do edital; </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não celebrar o contrato ou não entregar a documentação exigida para a assinatura de tais instrumentos, quando convocado dentro do prazo de validade de sua proposta;</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recusar-se, sem justificativa, a assinar o contrato, ou a aceitar ou retirar o instrumento equivalente no prazo estabelecido pela Administração;</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apresentar declaração ou documentação falsa exigida para o certame ou prestar declaração falsa durante a licitação;</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fraudar a licitação;</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comportar-se de modo inidôneo ou cometer fraude de qualquer natureza, em especial quando:</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agir em conluio ou em desconformidade com a lei; </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induzir deliberadamente a erro no julgamento; </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apresentar amostra falsificada ou deteriorada; </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praticar atos ilícitos com vistas a frustrar os objetivos da licitação;</w:t>
      </w:r>
    </w:p>
    <w:p>
      <w:pPr>
        <w:pStyle w:val="PargrafodaLista"/>
        <w:numPr>
          <w:ilvl w:val="2"/>
          <w:numId w:val="57"/>
        </w:numPr>
        <w:tabs>
          <w:tab w:val="left" w:pos="284"/>
          <w:tab w:val="left" w:pos="851"/>
          <w:tab w:val="left" w:pos="1276"/>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 xml:space="preserve">praticar ato lesivo previsto no </w:t>
      </w:r>
      <w:hyperlink r:id="rId44" w:anchor="art5" w:history="1">
        <w:r>
          <w:rPr>
            <w:rFonts w:ascii="Cambria" w:hAnsi="Cambria"/>
            <w:bCs/>
            <w:sz w:val="24"/>
            <w:szCs w:val="24"/>
          </w:rPr>
          <w:t>art. 5º da Lei n.º 12.846, de 2013</w:t>
        </w:r>
      </w:hyperlink>
      <w:r>
        <w:rPr>
          <w:rFonts w:ascii="Cambria" w:hAnsi="Cambria"/>
          <w:bCs/>
          <w:sz w:val="24"/>
          <w:szCs w:val="24"/>
        </w:rPr>
        <w:t>.</w:t>
      </w:r>
    </w:p>
    <w:p>
      <w:pPr>
        <w:pStyle w:val="PargrafodaLista"/>
        <w:tabs>
          <w:tab w:val="left" w:pos="284"/>
          <w:tab w:val="left" w:pos="851"/>
          <w:tab w:val="left" w:pos="1276"/>
          <w:tab w:val="left" w:pos="2525"/>
          <w:tab w:val="center" w:pos="4873"/>
        </w:tabs>
        <w:ind w:left="0"/>
        <w:jc w:val="both"/>
        <w:rPr>
          <w:rFonts w:ascii="Cambria" w:hAnsi="Cambria"/>
          <w:bCs/>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lastRenderedPageBreak/>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jc w:val="both"/>
        <w:rPr>
          <w:rFonts w:ascii="Cambria" w:hAnsi="Cambria"/>
          <w:bCs/>
          <w:sz w:val="24"/>
          <w:szCs w:val="24"/>
        </w:rPr>
      </w:pPr>
    </w:p>
    <w:tbl>
      <w:tblPr>
        <w:tblStyle w:val="Tabelacomgrade"/>
        <w:tblW w:w="0" w:type="auto"/>
        <w:tblLook w:val="04A0" w:firstRow="1" w:lastRow="0" w:firstColumn="1" w:lastColumn="0" w:noHBand="0" w:noVBand="1"/>
      </w:tblPr>
      <w:tblGrid>
        <w:gridCol w:w="4552"/>
        <w:gridCol w:w="4508"/>
      </w:tblGrid>
      <w:tr>
        <w:tc>
          <w:tcPr>
            <w:tcW w:w="4814" w:type="dxa"/>
            <w:shd w:val="clear" w:color="auto" w:fill="F2F2F2" w:themeFill="background1" w:themeFillShade="F2"/>
          </w:tcPr>
          <w:p>
            <w:pPr>
              <w:pStyle w:val="Default"/>
              <w:jc w:val="center"/>
              <w:rPr>
                <w:rFonts w:ascii="Cambria" w:hAnsi="Cambria"/>
                <w:sz w:val="24"/>
                <w:szCs w:val="24"/>
              </w:rPr>
            </w:pPr>
            <w:r>
              <w:rPr>
                <w:rFonts w:ascii="Cambria" w:hAnsi="Cambria"/>
                <w:b/>
                <w:bCs/>
                <w:sz w:val="24"/>
                <w:szCs w:val="24"/>
              </w:rPr>
              <w:t>Ocorrência</w:t>
            </w:r>
          </w:p>
        </w:tc>
        <w:tc>
          <w:tcPr>
            <w:tcW w:w="4815" w:type="dxa"/>
            <w:shd w:val="clear" w:color="auto" w:fill="F2F2F2" w:themeFill="background1" w:themeFillShade="F2"/>
          </w:tcPr>
          <w:p>
            <w:pPr>
              <w:pStyle w:val="Default"/>
              <w:jc w:val="center"/>
              <w:rPr>
                <w:rFonts w:ascii="Cambria" w:hAnsi="Cambria"/>
                <w:sz w:val="24"/>
                <w:szCs w:val="24"/>
              </w:rPr>
            </w:pPr>
            <w:r>
              <w:rPr>
                <w:rFonts w:ascii="Cambria" w:hAnsi="Cambria"/>
                <w:b/>
                <w:bCs/>
                <w:sz w:val="24"/>
                <w:szCs w:val="24"/>
              </w:rPr>
              <w:t>Penalidade</w:t>
            </w:r>
          </w:p>
        </w:tc>
      </w:tr>
      <w:tr>
        <w:tc>
          <w:tcPr>
            <w:tcW w:w="4814" w:type="dxa"/>
            <w:vAlign w:val="center"/>
          </w:tcPr>
          <w:p>
            <w:pPr>
              <w:pStyle w:val="Default"/>
              <w:numPr>
                <w:ilvl w:val="0"/>
                <w:numId w:val="58"/>
              </w:numPr>
              <w:tabs>
                <w:tab w:val="left" w:pos="316"/>
              </w:tabs>
              <w:jc w:val="both"/>
              <w:rPr>
                <w:rFonts w:ascii="Cambria" w:hAnsi="Cambria"/>
                <w:sz w:val="24"/>
                <w:szCs w:val="24"/>
              </w:rPr>
            </w:pPr>
            <w:r>
              <w:rPr>
                <w:rFonts w:ascii="Cambria" w:hAnsi="Cambria"/>
                <w:sz w:val="24"/>
                <w:szCs w:val="24"/>
              </w:rPr>
              <w:t xml:space="preserve">Dar causa a inexecução parcial do objeto. </w:t>
            </w:r>
          </w:p>
        </w:tc>
        <w:tc>
          <w:tcPr>
            <w:tcW w:w="4815" w:type="dxa"/>
            <w:vAlign w:val="center"/>
          </w:tcPr>
          <w:p>
            <w:pPr>
              <w:pStyle w:val="Default"/>
              <w:jc w:val="both"/>
              <w:rPr>
                <w:rFonts w:ascii="Cambria" w:hAnsi="Cambria"/>
                <w:sz w:val="24"/>
                <w:szCs w:val="24"/>
              </w:rPr>
            </w:pPr>
            <w:r>
              <w:rPr>
                <w:rFonts w:ascii="Cambria" w:hAnsi="Cambria"/>
                <w:sz w:val="24"/>
                <w:szCs w:val="24"/>
              </w:rPr>
              <w:t xml:space="preserve">Advertência,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6 (seis) meses a 2 (dois) anos,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Dar causa à inexecução total do objeto.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1 um) ano a 3 (três) anos,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Deixar de entregar documentação exigida para o certame.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bCs/>
                <w:sz w:val="24"/>
                <w:szCs w:val="24"/>
              </w:rPr>
            </w:pPr>
            <w:r>
              <w:rPr>
                <w:rFonts w:ascii="Cambria" w:hAnsi="Cambria"/>
                <w:sz w:val="24"/>
                <w:szCs w:val="24"/>
              </w:rPr>
              <w:t xml:space="preserve">Não mantiver a proposta, salvo em decorrência de fato superveniente devidamente justificado.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Não celebrar o contrato ou não entregar a documentação exigida para a contratação quando convocado dentro do prazo de validade de sua proposta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sz w:val="24"/>
                <w:szCs w:val="24"/>
              </w:rPr>
            </w:pPr>
            <w:r>
              <w:rPr>
                <w:rFonts w:ascii="Cambria" w:hAnsi="Cambria"/>
                <w:sz w:val="24"/>
                <w:szCs w:val="24"/>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58"/>
              </w:numPr>
              <w:tabs>
                <w:tab w:val="left" w:pos="316"/>
              </w:tabs>
              <w:ind w:left="32" w:firstLine="0"/>
              <w:jc w:val="both"/>
              <w:rPr>
                <w:rFonts w:ascii="Cambria" w:hAnsi="Cambria"/>
                <w:bCs/>
                <w:sz w:val="24"/>
                <w:szCs w:val="24"/>
              </w:rPr>
            </w:pPr>
            <w:r>
              <w:rPr>
                <w:rFonts w:ascii="Cambria" w:hAnsi="Cambria"/>
                <w:sz w:val="24"/>
                <w:szCs w:val="24"/>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Cambria" w:hAnsi="Cambria"/>
                <w:sz w:val="24"/>
                <w:szCs w:val="24"/>
              </w:rPr>
            </w:pPr>
            <w:r>
              <w:rPr>
                <w:rFonts w:ascii="Cambria" w:hAnsi="Cambria"/>
                <w:sz w:val="24"/>
                <w:szCs w:val="24"/>
              </w:rPr>
              <w:t xml:space="preserve">Declaração de inidoneidade para licitar ou contratar, pelo período de 3 (três) a 6 (seis) anos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Fraudar a licitação ou praticar ato fraudulento na execução do objeto </w:t>
            </w:r>
          </w:p>
        </w:tc>
        <w:tc>
          <w:tcPr>
            <w:tcW w:w="4815" w:type="dxa"/>
            <w:vAlign w:val="center"/>
          </w:tcPr>
          <w:p>
            <w:pPr>
              <w:pStyle w:val="Default"/>
              <w:jc w:val="both"/>
              <w:rPr>
                <w:rFonts w:ascii="Cambria" w:hAnsi="Cambria"/>
                <w:sz w:val="24"/>
                <w:szCs w:val="24"/>
              </w:rPr>
            </w:pPr>
            <w:r>
              <w:rPr>
                <w:rFonts w:ascii="Cambria" w:hAnsi="Cambria"/>
                <w:sz w:val="24"/>
                <w:szCs w:val="24"/>
              </w:rPr>
              <w:t xml:space="preserve">Declaração de inidoneidade para licitar ou contratar, pelo período de 3 (três) a 6 (seis) anos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lastRenderedPageBreak/>
              <w:t xml:space="preserve">Comportar-se de modo inidôneo ou cometer fraude de qualquer natureza </w:t>
            </w:r>
          </w:p>
        </w:tc>
        <w:tc>
          <w:tcPr>
            <w:tcW w:w="4815" w:type="dxa"/>
            <w:vAlign w:val="center"/>
          </w:tcPr>
          <w:p>
            <w:pPr>
              <w:pStyle w:val="Default"/>
              <w:jc w:val="both"/>
              <w:rPr>
                <w:rFonts w:ascii="Cambria" w:hAnsi="Cambria"/>
                <w:sz w:val="24"/>
                <w:szCs w:val="24"/>
              </w:rPr>
            </w:pPr>
            <w:r>
              <w:rPr>
                <w:rFonts w:ascii="Cambria" w:hAnsi="Cambria"/>
                <w:sz w:val="24"/>
                <w:szCs w:val="24"/>
              </w:rPr>
              <w:t xml:space="preserve">Declaração de inidoneidade para licitar ou contratar, pelo período de 3 (três) a 6 (seis) anos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Praticar atos ilícitos com vistas a frustrar os objetivos da licitação </w:t>
            </w:r>
          </w:p>
        </w:tc>
        <w:tc>
          <w:tcPr>
            <w:tcW w:w="4815" w:type="dxa"/>
            <w:vAlign w:val="center"/>
          </w:tcPr>
          <w:p>
            <w:pPr>
              <w:pStyle w:val="Default"/>
              <w:jc w:val="both"/>
              <w:rPr>
                <w:rFonts w:ascii="Cambria" w:hAnsi="Cambria"/>
                <w:sz w:val="24"/>
                <w:szCs w:val="24"/>
              </w:rPr>
            </w:pPr>
            <w:r>
              <w:rPr>
                <w:rFonts w:ascii="Cambria" w:hAnsi="Cambria"/>
                <w:sz w:val="24"/>
                <w:szCs w:val="24"/>
              </w:rPr>
              <w:t xml:space="preserve">Declaração de inidoneidade para licitar ou contratar, pelo período de 3 (três) a 6 (seis) anos </w:t>
            </w:r>
          </w:p>
        </w:tc>
      </w:tr>
      <w:tr>
        <w:tc>
          <w:tcPr>
            <w:tcW w:w="4814" w:type="dxa"/>
            <w:vAlign w:val="center"/>
          </w:tcPr>
          <w:p>
            <w:pPr>
              <w:pStyle w:val="Default"/>
              <w:numPr>
                <w:ilvl w:val="0"/>
                <w:numId w:val="58"/>
              </w:numPr>
              <w:tabs>
                <w:tab w:val="left" w:pos="316"/>
              </w:tabs>
              <w:ind w:left="32" w:firstLine="0"/>
              <w:jc w:val="both"/>
              <w:rPr>
                <w:rFonts w:ascii="Cambria" w:hAnsi="Cambria"/>
                <w:sz w:val="24"/>
                <w:szCs w:val="24"/>
              </w:rPr>
            </w:pPr>
            <w:r>
              <w:rPr>
                <w:rFonts w:ascii="Cambria" w:hAnsi="Cambria"/>
                <w:sz w:val="24"/>
                <w:szCs w:val="24"/>
              </w:rPr>
              <w:t xml:space="preserve">Praticar ato lesivo previsto no art. 5º da Lei nº 12.846, de 1º de agosto de 2013 </w:t>
            </w:r>
          </w:p>
        </w:tc>
        <w:tc>
          <w:tcPr>
            <w:tcW w:w="4815" w:type="dxa"/>
            <w:vAlign w:val="center"/>
          </w:tcPr>
          <w:p>
            <w:pPr>
              <w:pStyle w:val="Default"/>
              <w:jc w:val="both"/>
              <w:rPr>
                <w:rFonts w:ascii="Cambria" w:hAnsi="Cambria"/>
                <w:sz w:val="24"/>
                <w:szCs w:val="24"/>
              </w:rPr>
            </w:pPr>
            <w:r>
              <w:rPr>
                <w:rFonts w:ascii="Cambria" w:hAnsi="Cambria"/>
                <w:sz w:val="24"/>
                <w:szCs w:val="24"/>
              </w:rPr>
              <w:t xml:space="preserve">Declaração de inidoneidade para licitar ou contratar, pelo período de 3 (três) a 6 (seis) anos. </w:t>
            </w:r>
          </w:p>
        </w:tc>
      </w:tr>
    </w:tbl>
    <w:p>
      <w:pPr>
        <w:jc w:val="both"/>
        <w:rPr>
          <w:rFonts w:ascii="Cambria" w:hAnsi="Cambria"/>
          <w:bCs/>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ind w:left="0"/>
        <w:jc w:val="both"/>
        <w:rPr>
          <w:rFonts w:ascii="Cambria" w:hAnsi="Cambria"/>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PROCEDIMENTO ADMINISTRATIVO: As sanções serão aplicadas após regular processo administrativo, assegurada a ampla defesa e o contraditório.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Style w:val="PargrafodaLista"/>
        <w:tabs>
          <w:tab w:val="left" w:pos="567"/>
        </w:tabs>
        <w:ind w:left="0"/>
        <w:jc w:val="both"/>
        <w:rPr>
          <w:rFonts w:ascii="Cambria" w:hAnsi="Cambria"/>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A penalidade resultante da aplicação do item anterior não poderá ser maior do que as penalidades consideradas cumulativamente.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O cometimento reiterado de atrasos injustificados dos prazos previstos para a execução do objeto poderá resultar no cancelamento do registro de preços do Fornecedor.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Será considerado em estado de reiterado cometimento de atrasos dos prazos o Fornecedor que incorrer no terceiro atraso injustificado, ao longo da vigência da Ata.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A multa, calculada na forma do Anexo I - Termo de Referência, não poderá ser inferior a 0,5% (cinco décimos por cento) nem superior a 30% (trinta por cento) do valor do contrato e será aplicada ao responsável por qualquer das infrações administrativas previstas no art. 155 da Lei n. 14.133/2021.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aplicação das sanções previstas neste Edital não exclui, em hipótese alguma, a obrigação de reparação integral do dano causado à Administração Pública.</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Serão indeferidas pela Comissão de PAR, mediante decisão fundamentada, provas ilícitas, impertinentes, desnecessárias, protelatórias ou intempestivas.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Excepcionalmente, desde que justificado pelo gestor da ata, no Procedimento Administrativo de Apuração de Responsabilidade - PAAR, o município poderá, ad cautelam, efetuar a retenção do valor da multa presumida, em conformidade com o instrumento convocatório, Termo de Referência, e instaurar de imediato o procedimento administrativo para apuração de responsabilidade por descumprimento, que deverá ter tramitação prioritária.</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jc w:val="both"/>
        <w:rPr>
          <w:rFonts w:ascii="Cambria" w:hAnsi="Cambria"/>
          <w:snapToGrid w:val="0"/>
          <w:sz w:val="24"/>
          <w:szCs w:val="24"/>
          <w:lang w:eastAsia="ar-SA"/>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FRAUDE E CORRUPÇÃO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jc w:val="both"/>
        <w:rPr>
          <w:rFonts w:ascii="Cambria" w:hAnsi="Cambria"/>
          <w:spacing w:val="-1"/>
          <w:sz w:val="24"/>
          <w:szCs w:val="24"/>
        </w:rPr>
      </w:pPr>
      <w:r>
        <w:rPr>
          <w:rFonts w:ascii="Cambria" w:hAnsi="Cambria"/>
          <w:spacing w:val="-1"/>
          <w:sz w:val="24"/>
          <w:szCs w:val="24"/>
        </w:rPr>
        <w:t>a)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jc w:val="both"/>
        <w:rPr>
          <w:rFonts w:ascii="Cambria" w:hAnsi="Cambria"/>
          <w:spacing w:val="-1"/>
          <w:sz w:val="24"/>
          <w:szCs w:val="24"/>
        </w:rPr>
      </w:pPr>
      <w:r>
        <w:rPr>
          <w:rFonts w:ascii="Cambria" w:hAnsi="Cambria"/>
          <w:spacing w:val="-1"/>
          <w:sz w:val="24"/>
          <w:szCs w:val="24"/>
        </w:rPr>
        <w:t>b) “prática fraudulenta”: a falsificação ou omissão dos fatos, com o objetivo de influenciar o processo de licitação ou de execução de contrato;</w:t>
      </w:r>
    </w:p>
    <w:p>
      <w:pPr>
        <w:autoSpaceDE w:val="0"/>
        <w:autoSpaceDN w:val="0"/>
        <w:adjustRightInd w:val="0"/>
        <w:jc w:val="both"/>
        <w:rPr>
          <w:rFonts w:ascii="Cambria" w:hAnsi="Cambria"/>
          <w:spacing w:val="-1"/>
          <w:sz w:val="24"/>
          <w:szCs w:val="24"/>
        </w:rPr>
      </w:pPr>
      <w:r>
        <w:rPr>
          <w:rFonts w:ascii="Cambria" w:hAnsi="Cambria"/>
          <w:spacing w:val="-1"/>
          <w:sz w:val="24"/>
          <w:szCs w:val="24"/>
        </w:rPr>
        <w:t>c)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jc w:val="both"/>
        <w:rPr>
          <w:rFonts w:ascii="Cambria" w:hAnsi="Cambria"/>
          <w:spacing w:val="-1"/>
          <w:sz w:val="24"/>
          <w:szCs w:val="24"/>
        </w:rPr>
      </w:pPr>
      <w:r>
        <w:rPr>
          <w:rFonts w:ascii="Cambria" w:hAnsi="Cambria"/>
          <w:spacing w:val="-1"/>
          <w:sz w:val="24"/>
          <w:szCs w:val="24"/>
        </w:rPr>
        <w:t>d)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jc w:val="both"/>
        <w:rPr>
          <w:rFonts w:ascii="Cambria" w:hAnsi="Cambria"/>
          <w:spacing w:val="-1"/>
          <w:sz w:val="24"/>
          <w:szCs w:val="24"/>
        </w:rPr>
      </w:pPr>
      <w:r>
        <w:rPr>
          <w:rFonts w:ascii="Cambria" w:hAnsi="Cambria"/>
          <w:spacing w:val="-1"/>
          <w:sz w:val="24"/>
          <w:szCs w:val="24"/>
        </w:rPr>
        <w:t>e) “prática obstrutiva”:</w:t>
      </w:r>
    </w:p>
    <w:p>
      <w:pPr>
        <w:autoSpaceDE w:val="0"/>
        <w:autoSpaceDN w:val="0"/>
        <w:adjustRightInd w:val="0"/>
        <w:jc w:val="both"/>
        <w:rPr>
          <w:rFonts w:ascii="Cambria" w:hAnsi="Cambria"/>
          <w:spacing w:val="-1"/>
          <w:sz w:val="24"/>
          <w:szCs w:val="24"/>
        </w:rPr>
      </w:pPr>
      <w:r>
        <w:rPr>
          <w:rFonts w:ascii="Cambria" w:hAnsi="Cambria"/>
          <w:spacing w:val="-1"/>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jc w:val="both"/>
        <w:rPr>
          <w:rFonts w:ascii="Cambria" w:hAnsi="Cambria"/>
          <w:spacing w:val="-1"/>
          <w:sz w:val="24"/>
          <w:szCs w:val="24"/>
        </w:rPr>
      </w:pPr>
      <w:r>
        <w:rPr>
          <w:rFonts w:ascii="Cambria" w:hAnsi="Cambria"/>
          <w:spacing w:val="-1"/>
          <w:sz w:val="24"/>
          <w:szCs w:val="24"/>
        </w:rPr>
        <w:t>(2) atos cuja intenção seja impedir materialmente o exercício do direito de o organismo financeiro multilateral promover inspeção.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jc w:val="both"/>
        <w:rPr>
          <w:rFonts w:ascii="Cambria" w:hAnsi="Cambria"/>
          <w:spacing w:val="-1"/>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DOS ESCLARECIMENTOS, IMPUGNAÇÕES, DILIGÊNCIAS, REVOGAÇÃO E ANULAÇÃO</w:t>
      </w:r>
    </w:p>
    <w:p>
      <w:pPr>
        <w:ind w:left="-1134"/>
        <w:rPr>
          <w:rFonts w:ascii="Cambria" w:hAnsi="Cambria"/>
          <w:sz w:val="24"/>
          <w:szCs w:val="24"/>
        </w:rPr>
      </w:pPr>
    </w:p>
    <w:p>
      <w:pPr>
        <w:shd w:val="clear" w:color="auto" w:fill="F2F2F2" w:themeFill="background1" w:themeFillShade="F2"/>
        <w:jc w:val="center"/>
        <w:rPr>
          <w:rFonts w:ascii="Cambria" w:hAnsi="Cambria"/>
          <w:b/>
          <w:bCs/>
          <w:sz w:val="24"/>
          <w:szCs w:val="24"/>
          <w:u w:val="single"/>
        </w:rPr>
      </w:pPr>
      <w:r>
        <w:rPr>
          <w:rFonts w:ascii="Cambria" w:hAnsi="Cambria"/>
          <w:b/>
          <w:bCs/>
          <w:sz w:val="24"/>
          <w:szCs w:val="24"/>
          <w:u w:val="single"/>
        </w:rPr>
        <w:t>DAS SOLICITAÇÕES DE ESCLARECIMENTO E IMPUGNAÇÕES</w:t>
      </w:r>
    </w:p>
    <w:p>
      <w:pPr>
        <w:pStyle w:val="PargrafodaLista"/>
        <w:ind w:left="0"/>
        <w:jc w:val="both"/>
        <w:rPr>
          <w:rFonts w:ascii="Cambria" w:hAnsi="Cambria"/>
          <w:sz w:val="24"/>
          <w:szCs w:val="24"/>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lastRenderedPageBreak/>
        <w:t xml:space="preserve">Qualquer pessoa física ou jurídica poderá, no prazo de até </w:t>
      </w:r>
      <w:r>
        <w:rPr>
          <w:rFonts w:ascii="Cambria" w:hAnsi="Cambria"/>
          <w:b/>
          <w:bCs/>
          <w:sz w:val="24"/>
          <w:szCs w:val="24"/>
        </w:rPr>
        <w:t>03 (três) dias úteis</w:t>
      </w:r>
      <w:r>
        <w:rPr>
          <w:rFonts w:ascii="Cambria" w:hAnsi="Cambria"/>
          <w:sz w:val="24"/>
          <w:szCs w:val="24"/>
        </w:rPr>
        <w:t xml:space="preserve"> antes da data fixada para recebimento das Propostas de Preços, solicitar esclarecimento e ou impugnar o ato convocatório deste Pregão.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Impugnação feita tempestivamente pelo proponente não o impedirá de participar do processo licitatório até o trânsito em julgado da decisão a ela pertinente.</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 endereçamento o(a) Pregoeiro(a) da Prefeitura de Miraíma/CE;</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 fato e o fundamento jurídico de seu pedido, indicando quais os itens ou subitens discutidos;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 pedido, com suas especificações;</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 Pregoeiro poderá requisitar subsídios formais aos responsáveis pela elaboração do edital de licitação e dos anexos.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 xml:space="preserve">Caberá o(a) Pregoeiro(a) decidir e divulgar em sítio eletrônico oficial no prazo de até </w:t>
      </w:r>
      <w:r>
        <w:rPr>
          <w:rFonts w:ascii="Cambria" w:hAnsi="Cambria"/>
          <w:b/>
          <w:bCs/>
          <w:sz w:val="24"/>
          <w:szCs w:val="24"/>
        </w:rPr>
        <w:t>3 (três) dias úteis</w:t>
      </w:r>
      <w:r>
        <w:rPr>
          <w:rFonts w:ascii="Cambria" w:hAnsi="Cambria"/>
          <w:sz w:val="24"/>
          <w:szCs w:val="24"/>
        </w:rPr>
        <w:t>, limitado ao último dia útil anterior à data da abertura do certame.</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 resposta do Município de Miraíma/CE será disponibilizada a todos os interessados mediante afixação de cópia da íntegra do ato proferido pela Administração no sítio virtual:  https://municipios-licitacoes.tce.ce.gov.br/.</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 aditamento prevalecerá sempre em relação ao que for aditado.</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Qualquer modificação neste edital será divulgada pela mesma forma que se deu ao texto original.</w:t>
      </w:r>
    </w:p>
    <w:p>
      <w:pPr>
        <w:pStyle w:val="PargrafodaLista"/>
        <w:suppressAutoHyphens/>
        <w:spacing w:after="0" w:line="240" w:lineRule="auto"/>
        <w:ind w:left="0"/>
        <w:jc w:val="both"/>
        <w:rPr>
          <w:rFonts w:ascii="Cambria" w:hAnsi="Cambria"/>
          <w:sz w:val="24"/>
          <w:szCs w:val="24"/>
        </w:rPr>
      </w:pPr>
    </w:p>
    <w:p>
      <w:pPr>
        <w:pStyle w:val="PORTUGUES"/>
        <w:shd w:val="clear" w:color="auto" w:fill="F2F2F2" w:themeFill="background1" w:themeFillShade="F2"/>
        <w:jc w:val="center"/>
        <w:rPr>
          <w:rFonts w:ascii="Cambria" w:hAnsi="Cambria" w:cs="Times New Roman"/>
          <w:u w:val="single"/>
        </w:rPr>
      </w:pPr>
      <w:r>
        <w:rPr>
          <w:rFonts w:ascii="Cambria" w:hAnsi="Cambria" w:cs="Times New Roman"/>
          <w:u w:val="single"/>
        </w:rPr>
        <w:t>DILIGÊNCIA, REVOGAÇÃO E ANULAÇÃO</w:t>
      </w:r>
    </w:p>
    <w:p>
      <w:pPr>
        <w:pStyle w:val="PORTUGUES"/>
        <w:jc w:val="both"/>
        <w:rPr>
          <w:rFonts w:ascii="Cambria" w:hAnsi="Cambria" w:cs="Times New Roman"/>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b/>
          <w:bCs/>
          <w:sz w:val="24"/>
          <w:szCs w:val="24"/>
        </w:rPr>
        <w:t>DILIGÊNCIA:</w:t>
      </w:r>
      <w:r>
        <w:rPr>
          <w:rFonts w:ascii="Cambria" w:hAnsi="Cambria"/>
          <w:sz w:val="24"/>
          <w:szCs w:val="24"/>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w:t>
      </w:r>
      <w:r>
        <w:rPr>
          <w:rFonts w:ascii="Cambria" w:hAnsi="Cambria"/>
          <w:sz w:val="24"/>
          <w:szCs w:val="24"/>
        </w:rPr>
        <w:lastRenderedPageBreak/>
        <w:t>informação que deveria constar originariamente da Proposta ou da Habilitação, fixando o prazo para a resposta.</w:t>
      </w:r>
    </w:p>
    <w:p>
      <w:pPr>
        <w:pStyle w:val="PargrafodaLista"/>
        <w:numPr>
          <w:ilvl w:val="2"/>
          <w:numId w:val="20"/>
        </w:numPr>
        <w:suppressAutoHyphens/>
        <w:spacing w:after="0" w:line="240" w:lineRule="auto"/>
        <w:ind w:left="0" w:firstLine="0"/>
        <w:jc w:val="both"/>
        <w:rPr>
          <w:rFonts w:ascii="Cambria" w:hAnsi="Cambria"/>
          <w:sz w:val="24"/>
          <w:szCs w:val="24"/>
        </w:rPr>
      </w:pPr>
      <w:r>
        <w:rPr>
          <w:rFonts w:ascii="Cambria" w:hAnsi="Cambria"/>
          <w:sz w:val="24"/>
          <w:szCs w:val="24"/>
        </w:rPr>
        <w:t>Os proponentes notificados para prestar quaisquer esclarecimentos adicionais deverão fazê-lo no prazo determinado pelo(a) Pregoeiro(a), sob pena de desclassificação/inabilitação.</w:t>
      </w:r>
    </w:p>
    <w:p>
      <w:pPr>
        <w:pStyle w:val="PORTUGUES"/>
        <w:jc w:val="both"/>
        <w:rPr>
          <w:rFonts w:ascii="Cambria" w:hAnsi="Cambria" w:cs="Times New Roman"/>
        </w:rPr>
      </w:pP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b/>
          <w:bCs/>
          <w:sz w:val="24"/>
          <w:szCs w:val="24"/>
        </w:rPr>
        <w:t xml:space="preserve">REVOGAÇÃO E ANULAÇÃO: </w:t>
      </w:r>
      <w:r>
        <w:rPr>
          <w:rFonts w:ascii="Cambria" w:hAnsi="Cambria"/>
          <w:sz w:val="24"/>
          <w:szCs w:val="24"/>
        </w:rPr>
        <w:t>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jc w:val="right"/>
        <w:rPr>
          <w:rFonts w:ascii="Cambria" w:hAnsi="Cambria"/>
          <w:b/>
          <w:sz w:val="24"/>
          <w:szCs w:val="24"/>
        </w:rPr>
      </w:pPr>
    </w:p>
    <w:p>
      <w:pPr>
        <w:pStyle w:val="Ttulo1"/>
        <w:keepNext w:val="0"/>
        <w:keepLines w:val="0"/>
        <w:numPr>
          <w:ilvl w:val="0"/>
          <w:numId w:val="20"/>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DISPOSIÇÕES GERAIS</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As normas que disciplinam este Pregão Eletrônico serão sempre interpretadas em favor da ampliação da disputa entre os interessados, atendidos o interesse público, sem comprometimento da segurança e do regular funcionamento da administração.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Os casos omissos poderão ser resolvidos pelo(a) Pregoeiro(a) durante a sessão e pela(s) autoridade(s) competente(s), em outros casos, mediante aplicação dos Regulamentos Municipais que tratam de Licitações e Contratos e da Lei n.º 14.133/2021 de 1º de abril de 2021.</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Os avisos de prosseguimento das sessões, a decisão sobre os recursos interpostos, a Anulação ou revogação serão feitos aos interessados mediante publicação no quadro de avisos da Prefeitura Municipal de Miraíma/CE, conforme disposto na Lei Orgânica do Município e no “chat” do</w:t>
      </w:r>
      <w:r>
        <w:t xml:space="preserve"> </w:t>
      </w:r>
      <w:r>
        <w:rPr>
          <w:rFonts w:ascii="Cambria" w:hAnsi="Cambria"/>
          <w:sz w:val="24"/>
          <w:szCs w:val="24"/>
        </w:rPr>
        <w:t>https://www.miraima.ce.gov.br/</w:t>
      </w:r>
      <w:r>
        <w:rPr>
          <w:rFonts w:ascii="Cambria" w:hAnsi="Cambria"/>
          <w:bCs/>
          <w:sz w:val="24"/>
          <w:szCs w:val="24"/>
        </w:rPr>
        <w:t>.</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Quaisquer informações poderão ser obtidas das 07:00h às 13:00h, na sede do Setor de Licitação da Prefeitura de Miraíma/CE, situada na Rua Esplanada da Estação, 433 - Centro - Miraíma - CE - Cep.: 62.530-000- Miraíma - Ceará.</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O referido edital e seus ANEXOS estão disponíveis no seguinte sítio virtual: https://municipios-licitacoes.tce.ce.gov.br, nos termos da IN 04/2015-TCM/CE.</w:t>
      </w:r>
    </w:p>
    <w:p>
      <w:pPr>
        <w:pStyle w:val="PargrafodaLista"/>
        <w:numPr>
          <w:ilvl w:val="1"/>
          <w:numId w:val="20"/>
        </w:numPr>
        <w:tabs>
          <w:tab w:val="left" w:pos="567"/>
        </w:tabs>
        <w:suppressAutoHyphens/>
        <w:spacing w:after="0" w:line="240" w:lineRule="auto"/>
        <w:ind w:left="0" w:firstLine="0"/>
        <w:jc w:val="both"/>
        <w:rPr>
          <w:rFonts w:ascii="Cambria" w:hAnsi="Cambria"/>
          <w:sz w:val="24"/>
          <w:szCs w:val="24"/>
        </w:rPr>
      </w:pPr>
      <w:r>
        <w:rPr>
          <w:rFonts w:ascii="Cambria" w:hAnsi="Cambria"/>
          <w:sz w:val="24"/>
          <w:szCs w:val="24"/>
        </w:rPr>
        <w:t>Para dirimir, na esfera judicial, as questões oriundas do presente edital será competente o Foro da Comarca de Miraíma - CE.</w:t>
      </w:r>
    </w:p>
    <w:p>
      <w:pPr>
        <w:autoSpaceDE w:val="0"/>
        <w:autoSpaceDN w:val="0"/>
        <w:adjustRightInd w:val="0"/>
        <w:jc w:val="center"/>
        <w:rPr>
          <w:rFonts w:ascii="Cambria" w:hAnsi="Cambria"/>
          <w:sz w:val="24"/>
          <w:szCs w:val="24"/>
        </w:rPr>
      </w:pPr>
    </w:p>
    <w:p>
      <w:pPr>
        <w:autoSpaceDE w:val="0"/>
        <w:autoSpaceDN w:val="0"/>
        <w:adjustRightInd w:val="0"/>
        <w:jc w:val="right"/>
        <w:rPr>
          <w:rFonts w:ascii="Cambria" w:hAnsi="Cambria"/>
          <w:sz w:val="24"/>
          <w:szCs w:val="24"/>
        </w:rPr>
      </w:pPr>
      <w:r>
        <w:rPr>
          <w:rFonts w:ascii="Cambria" w:hAnsi="Cambria"/>
          <w:sz w:val="24"/>
          <w:szCs w:val="24"/>
        </w:rPr>
        <w:t>Miraíma/CE, 09 de Junho de 2026</w:t>
      </w:r>
    </w:p>
    <w:p>
      <w:pPr>
        <w:autoSpaceDE w:val="0"/>
        <w:autoSpaceDN w:val="0"/>
        <w:adjustRightInd w:val="0"/>
        <w:jc w:val="center"/>
        <w:rPr>
          <w:rFonts w:ascii="Cambria" w:hAnsi="Cambria"/>
          <w:sz w:val="24"/>
          <w:szCs w:val="24"/>
        </w:rPr>
      </w:pPr>
    </w:p>
    <w:p>
      <w:pPr>
        <w:autoSpaceDE w:val="0"/>
        <w:autoSpaceDN w:val="0"/>
        <w:adjustRightInd w:val="0"/>
        <w:jc w:val="center"/>
        <w:rPr>
          <w:rFonts w:ascii="Cambria" w:hAnsi="Cambria"/>
          <w:b/>
          <w:sz w:val="24"/>
          <w:szCs w:val="24"/>
        </w:rPr>
      </w:pPr>
    </w:p>
    <w:p>
      <w:pPr>
        <w:autoSpaceDE w:val="0"/>
        <w:autoSpaceDN w:val="0"/>
        <w:adjustRightInd w:val="0"/>
        <w:jc w:val="center"/>
        <w:rPr>
          <w:rFonts w:ascii="Cambria" w:hAnsi="Cambria"/>
          <w:b/>
          <w:sz w:val="24"/>
          <w:szCs w:val="24"/>
        </w:rPr>
      </w:pPr>
    </w:p>
    <w:p>
      <w:pPr>
        <w:spacing w:line="276" w:lineRule="auto"/>
        <w:jc w:val="center"/>
        <w:rPr>
          <w:rFonts w:ascii="Cambria" w:hAnsi="Cambria"/>
          <w:sz w:val="24"/>
          <w:szCs w:val="24"/>
        </w:rPr>
      </w:pPr>
      <w:r>
        <w:rPr>
          <w:rFonts w:ascii="Cambria" w:hAnsi="Cambria"/>
          <w:sz w:val="24"/>
          <w:szCs w:val="24"/>
        </w:rPr>
        <w:t>Antônio Robson Alves dos Santos</w:t>
      </w:r>
    </w:p>
    <w:p>
      <w:pPr>
        <w:jc w:val="center"/>
        <w:rPr>
          <w:rFonts w:ascii="Cambria" w:hAnsi="Cambria"/>
          <w:b/>
          <w:sz w:val="24"/>
          <w:szCs w:val="24"/>
        </w:rPr>
      </w:pPr>
      <w:r>
        <w:rPr>
          <w:rFonts w:ascii="Cambria" w:hAnsi="Cambria"/>
          <w:b/>
          <w:sz w:val="24"/>
          <w:szCs w:val="24"/>
        </w:rPr>
        <w:t>AGENTE DE CONTRATAÇÕES/PREGOEIRO</w:t>
      </w:r>
      <w:r>
        <w:rPr>
          <w:rFonts w:ascii="Cambria" w:hAnsi="Cambria"/>
          <w:b/>
          <w:sz w:val="24"/>
          <w:szCs w:val="24"/>
          <w:highlight w:val="yellow"/>
        </w:rPr>
        <w:br w:type="page"/>
      </w:r>
      <w:r>
        <w:rPr>
          <w:rFonts w:ascii="Cambria" w:hAnsi="Cambria"/>
          <w:b/>
          <w:sz w:val="24"/>
          <w:szCs w:val="24"/>
        </w:rPr>
        <w:lastRenderedPageBreak/>
        <w:t>ANEXO I – TERMO DE REFERÊNCIA</w:t>
      </w:r>
    </w:p>
    <w:p>
      <w:pPr>
        <w:keepNext/>
        <w:shd w:val="clear" w:color="auto" w:fill="F2F2F2"/>
        <w:suppressAutoHyphens/>
        <w:jc w:val="center"/>
        <w:outlineLvl w:val="0"/>
        <w:rPr>
          <w:rFonts w:ascii="Cambria" w:hAnsi="Cambria"/>
          <w:b/>
          <w:bCs/>
          <w:kern w:val="2"/>
          <w:sz w:val="24"/>
          <w:szCs w:val="24"/>
          <w:lang w:eastAsia="zh-CN"/>
        </w:rPr>
      </w:pPr>
      <w:r>
        <w:rPr>
          <w:rFonts w:ascii="Cambria" w:hAnsi="Cambria"/>
          <w:b/>
          <w:bCs/>
          <w:kern w:val="2"/>
          <w:sz w:val="24"/>
          <w:szCs w:val="24"/>
          <w:lang w:eastAsia="zh-CN"/>
        </w:rPr>
        <w:t>TERMO DE REFERÊNCIA E SEUS ANEXOS</w:t>
      </w:r>
    </w:p>
    <w:p>
      <w:pPr>
        <w:tabs>
          <w:tab w:val="left" w:pos="284"/>
          <w:tab w:val="left" w:pos="2525"/>
          <w:tab w:val="center" w:pos="4873"/>
        </w:tabs>
        <w:suppressAutoHyphens/>
        <w:jc w:val="both"/>
        <w:rPr>
          <w:rFonts w:ascii="Cambria" w:hAnsi="Cambria"/>
          <w:bCs/>
          <w:sz w:val="24"/>
          <w:szCs w:val="24"/>
          <w:lang w:eastAsia="zh-CN"/>
        </w:rPr>
      </w:pPr>
    </w:p>
    <w:p>
      <w:p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1. INTRODUÇÃO</w:t>
      </w:r>
    </w:p>
    <w:p>
      <w:pPr>
        <w:tabs>
          <w:tab w:val="left" w:pos="284"/>
          <w:tab w:val="left" w:pos="2525"/>
          <w:tab w:val="center" w:pos="4873"/>
        </w:tabs>
        <w:suppressAutoHyphens/>
        <w:jc w:val="both"/>
        <w:rPr>
          <w:rFonts w:ascii="Cambria" w:hAnsi="Cambria"/>
          <w:b/>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1.1. Objetivo </w:t>
      </w:r>
    </w:p>
    <w:p>
      <w:pPr>
        <w:tabs>
          <w:tab w:val="left" w:pos="284"/>
          <w:tab w:val="left" w:pos="2525"/>
          <w:tab w:val="center" w:pos="4873"/>
        </w:tabs>
        <w:suppressAutoHyphens/>
        <w:jc w:val="both"/>
        <w:rPr>
          <w:rFonts w:ascii="Cambria" w:hAnsi="Cambria"/>
          <w:bCs/>
          <w:sz w:val="24"/>
          <w:szCs w:val="24"/>
          <w:lang w:eastAsia="zh-CN"/>
        </w:rPr>
      </w:pPr>
      <w:r>
        <w:rPr>
          <w:rFonts w:ascii="Cambria" w:hAnsi="Cambria"/>
          <w:bCs/>
          <w:sz w:val="24"/>
          <w:szCs w:val="24"/>
          <w:lang w:eastAsia="zh-CN"/>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284"/>
          <w:tab w:val="left" w:pos="2525"/>
          <w:tab w:val="center" w:pos="4873"/>
        </w:tabs>
        <w:suppressAutoHyphens/>
        <w:jc w:val="center"/>
        <w:rPr>
          <w:rFonts w:ascii="Cambria" w:hAnsi="Cambria"/>
          <w:b/>
          <w:sz w:val="24"/>
          <w:szCs w:val="24"/>
          <w:u w:val="single"/>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1.2. Integram o presente Termo de Referência como se nele estivessem escritos, os seguintes documentos: </w:t>
      </w:r>
    </w:p>
    <w:p>
      <w:pPr>
        <w:tabs>
          <w:tab w:val="left" w:pos="284"/>
          <w:tab w:val="left" w:pos="2525"/>
          <w:tab w:val="center" w:pos="4873"/>
        </w:tabs>
        <w:suppressAutoHyphens/>
        <w:jc w:val="both"/>
        <w:rPr>
          <w:rFonts w:ascii="Cambria" w:hAnsi="Cambria"/>
          <w:bCs/>
          <w:sz w:val="24"/>
          <w:szCs w:val="24"/>
          <w:lang w:eastAsia="zh-CN"/>
        </w:rPr>
      </w:pPr>
    </w:p>
    <w:p>
      <w:pPr>
        <w:numPr>
          <w:ilvl w:val="0"/>
          <w:numId w:val="34"/>
        </w:numPr>
        <w:tabs>
          <w:tab w:val="left" w:pos="284"/>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Definição dos Itens e especificações dos Serviços;</w:t>
      </w:r>
    </w:p>
    <w:p>
      <w:pPr>
        <w:numPr>
          <w:ilvl w:val="0"/>
          <w:numId w:val="34"/>
        </w:numPr>
        <w:tabs>
          <w:tab w:val="left" w:pos="284"/>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Relação dos documentos de habilitação para o procedimento; e</w:t>
      </w:r>
    </w:p>
    <w:p>
      <w:pPr>
        <w:numPr>
          <w:ilvl w:val="0"/>
          <w:numId w:val="34"/>
        </w:numPr>
        <w:tabs>
          <w:tab w:val="left" w:pos="284"/>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Estudo Técnico Preliminar – ETP;</w:t>
      </w:r>
    </w:p>
    <w:p>
      <w:pPr>
        <w:numPr>
          <w:ilvl w:val="0"/>
          <w:numId w:val="34"/>
        </w:numPr>
        <w:tabs>
          <w:tab w:val="left" w:pos="284"/>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Mapa de Riscos.</w:t>
      </w:r>
    </w:p>
    <w:p>
      <w:pPr>
        <w:tabs>
          <w:tab w:val="left" w:pos="284"/>
          <w:tab w:val="left" w:pos="2525"/>
          <w:tab w:val="center" w:pos="4873"/>
        </w:tabs>
        <w:suppressAutoHyphens/>
        <w:ind w:left="720"/>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INFORMAÇÕES PRIMÁRIAS, EXPOSIÇÃO DE NECESSIDADE, DETALHAMENTO E PLANEJAMENTO DO OBJETO.</w:t>
      </w:r>
    </w:p>
    <w:p>
      <w:pPr>
        <w:tabs>
          <w:tab w:val="left" w:pos="284"/>
          <w:tab w:val="left" w:pos="2525"/>
          <w:tab w:val="center" w:pos="4873"/>
        </w:tabs>
        <w:suppressAutoHyphens/>
        <w:jc w:val="both"/>
        <w:rPr>
          <w:rFonts w:ascii="Cambria" w:hAnsi="Cambria"/>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Objeto:</w:t>
      </w:r>
    </w:p>
    <w:p>
      <w:pPr>
        <w:tabs>
          <w:tab w:val="left" w:pos="284"/>
          <w:tab w:val="left" w:pos="2525"/>
          <w:tab w:val="center" w:pos="4873"/>
        </w:tabs>
        <w:suppressAutoHyphens/>
        <w:jc w:val="both"/>
        <w:rPr>
          <w:rFonts w:ascii="Cambria" w:hAnsi="Cambria"/>
          <w:sz w:val="24"/>
          <w:szCs w:val="24"/>
          <w:lang w:eastAsia="zh-CN"/>
        </w:rPr>
      </w:pPr>
      <w:r>
        <w:rPr>
          <w:rFonts w:ascii="Cambria" w:hAnsi="Cambria"/>
          <w:sz w:val="24"/>
          <w:szCs w:val="24"/>
          <w:lang w:eastAsia="zh-CN"/>
        </w:rPr>
        <w:t>LOCAÇÃO DE VEÍCULOS DESTINADOS AO ATENDIMENTO DAS NECESSIDADES DAS DIVERSAS SECRETARIAS DO MUNICÍPIO DE MIRAÍMA/CE.</w:t>
      </w:r>
    </w:p>
    <w:p>
      <w:pPr>
        <w:tabs>
          <w:tab w:val="left" w:pos="284"/>
          <w:tab w:val="left" w:pos="2525"/>
          <w:tab w:val="center" w:pos="4873"/>
        </w:tabs>
        <w:suppressAutoHyphens/>
        <w:jc w:val="both"/>
        <w:rPr>
          <w:rFonts w:ascii="Cambria" w:hAnsi="Cambria"/>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Justificativa:</w:t>
      </w:r>
    </w:p>
    <w:p>
      <w:pPr>
        <w:ind w:firstLine="708"/>
        <w:jc w:val="both"/>
        <w:rPr>
          <w:rFonts w:ascii="Cambria" w:hAnsi="Cambria"/>
          <w:sz w:val="24"/>
          <w:szCs w:val="24"/>
          <w:lang w:eastAsia="pt-BR"/>
        </w:rPr>
      </w:pPr>
      <w:r>
        <w:rPr>
          <w:rFonts w:ascii="Cambria" w:hAnsi="Cambria"/>
          <w:sz w:val="24"/>
          <w:szCs w:val="24"/>
          <w:lang w:eastAsia="pt-BR"/>
        </w:rPr>
        <w:t>A contratação de empresa especializada para a locação de veículos destinados ao atendimento das necessidades das diversas Secretarias do Município de Miraíma/CE justifica-se pela necessidade de garantir a continuidade, eficiência e regularidade dos serviços públicos prestados à população, assegurando os meios adequados para o desenvolvimento das atividades administrativas, operacionais e institucionais da Administração Municipal.</w:t>
      </w:r>
    </w:p>
    <w:p>
      <w:pPr>
        <w:ind w:firstLine="708"/>
        <w:jc w:val="both"/>
        <w:rPr>
          <w:rFonts w:ascii="Cambria" w:hAnsi="Cambria"/>
          <w:sz w:val="24"/>
          <w:szCs w:val="24"/>
          <w:lang w:eastAsia="pt-BR"/>
        </w:rPr>
      </w:pPr>
      <w:r>
        <w:rPr>
          <w:rFonts w:ascii="Cambria" w:hAnsi="Cambria"/>
          <w:sz w:val="24"/>
          <w:szCs w:val="24"/>
          <w:lang w:eastAsia="pt-BR"/>
        </w:rPr>
        <w:t>As Secretarias Municipais desempenham atribuições que exigem deslocamentos frequentes de servidores, equipes técnicas, materiais, equipamentos e usuários dos serviços públicos, tanto na sede quanto nas localidades da zona rural do município, tornando indispensável a disponibilidade de veículos adequados para o atendimento das demandas diárias da gestão pública.</w:t>
      </w:r>
    </w:p>
    <w:p>
      <w:pPr>
        <w:ind w:firstLine="708"/>
        <w:jc w:val="both"/>
        <w:rPr>
          <w:rFonts w:ascii="Cambria" w:hAnsi="Cambria"/>
          <w:sz w:val="24"/>
          <w:szCs w:val="24"/>
          <w:lang w:eastAsia="pt-BR"/>
        </w:rPr>
      </w:pPr>
      <w:r>
        <w:rPr>
          <w:rFonts w:ascii="Cambria" w:hAnsi="Cambria"/>
          <w:sz w:val="24"/>
          <w:szCs w:val="24"/>
          <w:lang w:eastAsia="pt-BR"/>
        </w:rPr>
        <w:t xml:space="preserve">A insuficiência de frota própria, bem como os elevados custos relacionados à aquisição, manutenção, reposição, depreciação, licenciamento e gestão patrimonial de veículos, tornam a locação a alternativa mais vantajosa para a Administração, uma vez que possibilita a disponibilização de veículos em condições adequadas de uso, com </w:t>
      </w:r>
      <w:r>
        <w:rPr>
          <w:rFonts w:ascii="Cambria" w:hAnsi="Cambria"/>
          <w:sz w:val="24"/>
          <w:szCs w:val="24"/>
          <w:lang w:eastAsia="pt-BR"/>
        </w:rPr>
        <w:lastRenderedPageBreak/>
        <w:t>manutenção preventiva e corretiva sob responsabilidade da contratada, garantindo maior eficiência operacional e redução dos riscos de interrupção dos serviços.</w:t>
      </w:r>
    </w:p>
    <w:p>
      <w:pPr>
        <w:ind w:firstLine="708"/>
        <w:jc w:val="both"/>
        <w:rPr>
          <w:rFonts w:ascii="Cambria" w:hAnsi="Cambria"/>
          <w:sz w:val="24"/>
          <w:szCs w:val="24"/>
          <w:lang w:eastAsia="pt-BR"/>
        </w:rPr>
      </w:pPr>
      <w:r>
        <w:rPr>
          <w:rFonts w:ascii="Cambria" w:hAnsi="Cambria"/>
          <w:sz w:val="24"/>
          <w:szCs w:val="24"/>
          <w:lang w:eastAsia="pt-BR"/>
        </w:rPr>
        <w:t>A contratação visa atender às necessidades específicas das diversas Secretarias Municipais, incluindo atividades de transporte de equipes técnicas, fiscalização de obras e serviços, acompanhamento de programas governamentais, apoio às ações de saúde, educação, agricultura, infraestrutura e demais atividades essenciais ao funcionamento da máquina pública.</w:t>
      </w:r>
    </w:p>
    <w:p>
      <w:pPr>
        <w:ind w:firstLine="708"/>
        <w:jc w:val="both"/>
        <w:rPr>
          <w:rFonts w:ascii="Cambria" w:hAnsi="Cambria"/>
          <w:sz w:val="24"/>
          <w:szCs w:val="24"/>
          <w:lang w:eastAsia="pt-BR"/>
        </w:rPr>
      </w:pPr>
      <w:r>
        <w:rPr>
          <w:rFonts w:ascii="Cambria" w:hAnsi="Cambria"/>
          <w:sz w:val="24"/>
          <w:szCs w:val="24"/>
          <w:lang w:eastAsia="pt-BR"/>
        </w:rPr>
        <w:t>Além disso, a locação proporciona maior flexibilidade na gestão da frota, permitindo que a Administração disponha de veículos compatíveis com cada demanda, sem a necessidade de elevados investimentos iniciais para aquisição de bens permanentes, promovendo maior racionalização dos recursos públicos e melhor previsibilidade dos gastos ao longo da execução contratual.</w:t>
      </w:r>
    </w:p>
    <w:p>
      <w:pPr>
        <w:ind w:firstLine="708"/>
        <w:jc w:val="both"/>
        <w:rPr>
          <w:rFonts w:ascii="Cambria" w:hAnsi="Cambria"/>
          <w:sz w:val="24"/>
          <w:szCs w:val="24"/>
          <w:lang w:eastAsia="pt-BR"/>
        </w:rPr>
      </w:pPr>
      <w:r>
        <w:rPr>
          <w:rFonts w:ascii="Cambria" w:hAnsi="Cambria"/>
          <w:sz w:val="24"/>
          <w:szCs w:val="24"/>
          <w:lang w:eastAsia="pt-BR"/>
        </w:rPr>
        <w:t>Dessa forma, a contratação pretendida revela-se necessária e conveniente para assegurar a continuidade das ações governamentais, o adequado funcionamento das Secretarias Municipais e a efetiva prestação dos serviços públicos à população de Miraíma/CE, em observância aos princípios da eficiência, economicidade, continuidade do serviço público e interesse público previstos na Lei Federal nº 14.133/2021.</w:t>
      </w:r>
    </w:p>
    <w:p>
      <w:pPr>
        <w:ind w:firstLine="708"/>
        <w:jc w:val="both"/>
        <w:rPr>
          <w:rFonts w:ascii="Cambria" w:hAnsi="Cambria"/>
          <w:sz w:val="24"/>
          <w:szCs w:val="24"/>
          <w:lang w:eastAsia="pt-BR"/>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Do Plano de Contratação Anual - PCA:</w:t>
      </w:r>
    </w:p>
    <w:p>
      <w:pPr>
        <w:spacing w:line="276" w:lineRule="auto"/>
        <w:ind w:firstLine="851"/>
        <w:jc w:val="both"/>
        <w:rPr>
          <w:rFonts w:ascii="Cambria" w:hAnsi="Cambria"/>
          <w:sz w:val="24"/>
          <w:szCs w:val="24"/>
        </w:rPr>
      </w:pPr>
      <w:r>
        <w:rPr>
          <w:rFonts w:ascii="Cambria" w:hAnsi="Cambria"/>
          <w:sz w:val="24"/>
          <w:szCs w:val="24"/>
        </w:rPr>
        <w:t>A presente contratação encontra-se devidamente prevista no Plano de Contratações Anual (PCA) do Município de Miraíma/CE, em conformidade com as diretrizes de planejamento da Administração Pública e com as disposições da Lei Federal nº 14.133/2021.</w:t>
      </w:r>
    </w:p>
    <w:p>
      <w:pPr>
        <w:spacing w:line="276" w:lineRule="auto"/>
        <w:ind w:firstLine="851"/>
        <w:jc w:val="both"/>
        <w:rPr>
          <w:rFonts w:ascii="Cambria" w:hAnsi="Cambria"/>
          <w:sz w:val="24"/>
          <w:szCs w:val="24"/>
        </w:rPr>
      </w:pPr>
      <w:r>
        <w:rPr>
          <w:rFonts w:ascii="Cambria" w:hAnsi="Cambria"/>
          <w:sz w:val="24"/>
          <w:szCs w:val="24"/>
        </w:rPr>
        <w:t>A inclusão da demanda no PCA demonstra que a necessidade foi previamente identificada pelos órgãos demandantes, permitindo o adequado planejamento das contratações públicas, a racionalização dos gastos e a otimização da aplicação dos recursos públicos.</w:t>
      </w:r>
    </w:p>
    <w:p>
      <w:pPr>
        <w:spacing w:line="276" w:lineRule="auto"/>
        <w:ind w:firstLine="851"/>
        <w:jc w:val="both"/>
        <w:rPr>
          <w:rFonts w:ascii="Cambria" w:hAnsi="Cambria"/>
          <w:sz w:val="24"/>
          <w:szCs w:val="24"/>
        </w:rPr>
      </w:pPr>
      <w:r>
        <w:rPr>
          <w:rFonts w:ascii="Cambria" w:hAnsi="Cambria"/>
          <w:sz w:val="24"/>
          <w:szCs w:val="24"/>
        </w:rPr>
        <w:t>A contratação de locação de veículos destinados ao atendimento das necessidades das diversas Secretarias Municipais está alinhada aos objetivos estratégicos da Administração, uma vez que visa assegurar a continuidade dos serviços públicos, o suporte às atividades administrativas e operacionais e a adequada execução das políticas públicas desenvolvidas pelo Município.</w:t>
      </w:r>
    </w:p>
    <w:p>
      <w:pPr>
        <w:spacing w:line="276" w:lineRule="auto"/>
        <w:ind w:firstLine="851"/>
        <w:jc w:val="both"/>
        <w:rPr>
          <w:rFonts w:ascii="Cambria" w:hAnsi="Cambria"/>
          <w:sz w:val="24"/>
          <w:szCs w:val="24"/>
        </w:rPr>
      </w:pPr>
      <w:r>
        <w:rPr>
          <w:rFonts w:ascii="Cambria" w:hAnsi="Cambria"/>
          <w:sz w:val="24"/>
          <w:szCs w:val="24"/>
        </w:rPr>
        <w:t>As demandas encontram-se registradas no Plano de Contratações Anual das respectivas Secretarias, contemplando os quantitativos e valores estimados necessários para atendimento das atividades institucionais durante o exercício correspondente, evidenciando a compatibilidade da contratação com o planejamento governamental e orçamentário do Município.</w:t>
      </w:r>
    </w:p>
    <w:p>
      <w:pPr>
        <w:spacing w:line="276" w:lineRule="auto"/>
        <w:ind w:firstLine="851"/>
        <w:jc w:val="both"/>
        <w:rPr>
          <w:rFonts w:ascii="Cambria" w:hAnsi="Cambria"/>
          <w:sz w:val="24"/>
          <w:szCs w:val="24"/>
        </w:rPr>
      </w:pPr>
      <w:r>
        <w:rPr>
          <w:rFonts w:ascii="Cambria" w:hAnsi="Cambria"/>
          <w:sz w:val="24"/>
          <w:szCs w:val="24"/>
        </w:rPr>
        <w:t>Dessa forma, verifica-se que a presente contratação está em consonância com o Plano de Contratações Anual – PCA, atendendo aos princípios do planejamento, da eficiência, da economicidade e da boa governança administrativa, constituindo medida necessária para garantir o adequado funcionamento das diversas Secretarias do Município de Miraíma/CE.</w:t>
      </w:r>
    </w:p>
    <w:p>
      <w:pPr>
        <w:suppressAutoHyphens/>
        <w:ind w:left="720"/>
        <w:contextualSpacing/>
        <w:jc w:val="both"/>
        <w:rPr>
          <w:rFonts w:ascii="Cambria" w:hAnsi="Cambria"/>
          <w:sz w:val="24"/>
          <w:szCs w:val="24"/>
          <w:lang w:eastAsia="zh-CN"/>
        </w:rPr>
      </w:pPr>
    </w:p>
    <w:p>
      <w:pPr>
        <w:numPr>
          <w:ilvl w:val="1"/>
          <w:numId w:val="33"/>
        </w:numPr>
        <w:tabs>
          <w:tab w:val="left" w:pos="426"/>
          <w:tab w:val="left" w:pos="2525"/>
          <w:tab w:val="center" w:pos="4873"/>
        </w:tabs>
        <w:suppressAutoHyphens/>
        <w:ind w:left="0" w:firstLine="0"/>
        <w:contextualSpacing/>
        <w:jc w:val="both"/>
        <w:rPr>
          <w:rFonts w:ascii="Cambria" w:hAnsi="Cambria"/>
          <w:b/>
          <w:sz w:val="24"/>
          <w:szCs w:val="24"/>
          <w:lang w:eastAsia="zh-CN"/>
        </w:rPr>
      </w:pPr>
      <w:r>
        <w:rPr>
          <w:rFonts w:ascii="Cambria" w:hAnsi="Cambria"/>
          <w:b/>
          <w:sz w:val="24"/>
          <w:szCs w:val="24"/>
          <w:lang w:eastAsia="zh-CN"/>
        </w:rPr>
        <w:t>Descrição da solução como um todo considerado o ciclo de vida do objeto e especificação do Serviço:</w:t>
      </w:r>
    </w:p>
    <w:p>
      <w:pPr>
        <w:tabs>
          <w:tab w:val="left" w:pos="42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 xml:space="preserve">A descrição da solução como um todo encontra-se pormenorizada em tópico específico constante dos Estudos Técnicos Preliminares - ETP, anexo ao presente procedimento administrativo. </w:t>
      </w:r>
    </w:p>
    <w:p>
      <w:pPr>
        <w:tabs>
          <w:tab w:val="left" w:pos="426"/>
          <w:tab w:val="left" w:pos="2525"/>
          <w:tab w:val="center" w:pos="4873"/>
        </w:tabs>
        <w:suppressAutoHyphens/>
        <w:contextualSpacing/>
        <w:jc w:val="both"/>
        <w:rPr>
          <w:rFonts w:ascii="Cambria" w:hAnsi="Cambria"/>
          <w:bCs/>
          <w:sz w:val="24"/>
          <w:szCs w:val="24"/>
          <w:lang w:eastAsia="zh-CN"/>
        </w:rPr>
      </w:pPr>
    </w:p>
    <w:p>
      <w:pPr>
        <w:numPr>
          <w:ilvl w:val="1"/>
          <w:numId w:val="33"/>
        </w:numPr>
        <w:tabs>
          <w:tab w:val="left" w:pos="426"/>
        </w:tabs>
        <w:suppressAutoHyphens/>
        <w:ind w:left="0" w:firstLine="0"/>
        <w:contextualSpacing/>
        <w:jc w:val="both"/>
        <w:rPr>
          <w:rFonts w:ascii="Cambria" w:hAnsi="Cambria"/>
          <w:b/>
          <w:bCs/>
          <w:sz w:val="24"/>
          <w:szCs w:val="24"/>
          <w:lang w:eastAsia="zh-CN"/>
        </w:rPr>
      </w:pPr>
      <w:r>
        <w:rPr>
          <w:rFonts w:ascii="Cambria" w:hAnsi="Cambria"/>
          <w:b/>
          <w:bCs/>
          <w:sz w:val="24"/>
          <w:szCs w:val="24"/>
          <w:lang w:eastAsia="zh-CN"/>
        </w:rPr>
        <w:t>CONSIDERAÇÕES E ESPECIFICAÇÕES TÉCNICAS / DA EXECUÇÃO DOS SERVIÇOS E DEMAIS CONDIÇÕES:</w:t>
      </w:r>
    </w:p>
    <w:p>
      <w:pPr>
        <w:tabs>
          <w:tab w:val="left" w:pos="426"/>
        </w:tabs>
        <w:suppressAutoHyphens/>
        <w:jc w:val="both"/>
        <w:rPr>
          <w:rFonts w:ascii="Cambria" w:hAnsi="Cambria"/>
          <w:b/>
          <w:bCs/>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2.5.1. SERÃO OBRIGAÇÕES DA CONTRATADA</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2.5.1.1. RESPONSABILIDADE PELOS VEÍCULOS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2.5.1.2.</w:t>
      </w:r>
      <w:r>
        <w:rPr>
          <w:rFonts w:ascii="Cambria" w:hAnsi="Cambria"/>
          <w:sz w:val="24"/>
          <w:szCs w:val="24"/>
          <w:lang w:eastAsia="zh-CN"/>
        </w:rPr>
        <w:t xml:space="preserve"> A Contratada deverá garantir que todos os veículos utilizados estejam em perfeito estado de conservação e funcionamento, conforme as especificações técnicas descritas no contrato, incluindo: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2.5.1.3.</w:t>
      </w:r>
      <w:r>
        <w:rPr>
          <w:rFonts w:ascii="Cambria" w:hAnsi="Cambria"/>
          <w:sz w:val="24"/>
          <w:szCs w:val="24"/>
          <w:lang w:eastAsia="zh-CN"/>
        </w:rPr>
        <w:t xml:space="preserve"> Manutenção preventiva e corretiva regular.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2.5.1.4.</w:t>
      </w:r>
      <w:r>
        <w:rPr>
          <w:rFonts w:ascii="Cambria" w:hAnsi="Cambria"/>
          <w:sz w:val="24"/>
          <w:szCs w:val="24"/>
          <w:lang w:eastAsia="zh-CN"/>
        </w:rPr>
        <w:t xml:space="preserve"> Equipamentos de segurança, como cintos de segurança e extintores de incêndio, devidamente instalados e em funcionamento. </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2.6.2. CUMPRIMENTO DOS HORÁRIOS E ROTAS</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2.6.2.1. A CONTRATADA DEVERÁ: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2.6.2.2.</w:t>
      </w:r>
      <w:r>
        <w:rPr>
          <w:rFonts w:ascii="Cambria" w:hAnsi="Cambria"/>
          <w:sz w:val="24"/>
          <w:szCs w:val="24"/>
          <w:lang w:eastAsia="zh-CN"/>
        </w:rPr>
        <w:t xml:space="preserve"> Cumprir rigorosamente os horários e as rotas estabelecidas pelas Secretarias.</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2.6.2.3.</w:t>
      </w:r>
      <w:r>
        <w:rPr>
          <w:rFonts w:ascii="Cambria" w:hAnsi="Cambria"/>
          <w:sz w:val="24"/>
          <w:szCs w:val="24"/>
          <w:lang w:eastAsia="zh-CN"/>
        </w:rPr>
        <w:t xml:space="preserve"> Ajustar as rotas conforme necessário, mediante orientação da Secretarias para garantir a segurança e a pontualidade do transporte.</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2.6.3. COMUNICAÇÃO E TRANSPARÊNCIA</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2.6.3.1. A CONTRATADA DEVE MANTER CANAIS DE COMUNICAÇÃO EFICAZES COM A SECRETARIA, INCLUINDO:</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2.6.3.2.</w:t>
      </w:r>
      <w:r>
        <w:rPr>
          <w:rFonts w:ascii="Cambria" w:hAnsi="Cambria"/>
          <w:sz w:val="24"/>
          <w:szCs w:val="24"/>
          <w:lang w:eastAsia="zh-CN"/>
        </w:rPr>
        <w:t xml:space="preserve"> Informar imediatamente qualquer alteração nas rotas, horários ou condições dos veículos. </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2.6.4. ATENDIMENTO ÀS NORMAS DE SEGURANÇA E LEGISLAÇÃO</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2.6.4.1. A CONTRATADA DEVE CUMPRIR TODAS AS NORMAS DE SEGURANÇA VIGENTES E A LEGISLAÇÃO APLICÁVEL AO TRANSPORTE, INCLUINDO: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2.6.4.2.</w:t>
      </w:r>
      <w:r>
        <w:rPr>
          <w:rFonts w:ascii="Cambria" w:hAnsi="Cambria"/>
          <w:sz w:val="24"/>
          <w:szCs w:val="24"/>
          <w:lang w:eastAsia="zh-CN"/>
        </w:rPr>
        <w:t xml:space="preserve"> Manter todos os veículos com documentação regularizada e em conformidade com as exigências legais.</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2.6.4.3.</w:t>
      </w:r>
      <w:r>
        <w:rPr>
          <w:rFonts w:ascii="Cambria" w:hAnsi="Cambria"/>
          <w:sz w:val="24"/>
          <w:szCs w:val="24"/>
          <w:lang w:eastAsia="zh-CN"/>
        </w:rPr>
        <w:t xml:space="preserve"> Garantir que os veículos estejam devidamente identificados conforme grafismos e logomarcas padrões do município de Miraíma/CE, a serem estabelecidos pela contratante.</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2.6.5. RESPONSABILIDADE POR DANOS E INCIDENTES</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2.6.5.1. A CONTRATADA SERÁ RESPONSÁVEL POR QUAISQUER DANOS MATERIAIS OU PESSOAIS RESULTANTES DA OPERAÇÃO DOS SERVIÇOS DE TRANSPORTE, DEVENDO: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2.6.5.1.1.</w:t>
      </w:r>
      <w:r>
        <w:rPr>
          <w:rFonts w:ascii="Cambria" w:hAnsi="Cambria"/>
          <w:sz w:val="24"/>
          <w:szCs w:val="24"/>
          <w:lang w:eastAsia="zh-CN"/>
        </w:rPr>
        <w:t xml:space="preserve"> Adotar medidas imediatas para resolver quaisquer incidentes, garantindo a segurança e o bem-estar dos usuários.</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2.6.6. SUBLOCAÇÃO E SUBCONTRATAÇÃO</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2.6.6.1.</w:t>
      </w:r>
      <w:r>
        <w:rPr>
          <w:rFonts w:ascii="Cambria" w:hAnsi="Cambria"/>
          <w:sz w:val="24"/>
          <w:szCs w:val="24"/>
          <w:lang w:eastAsia="zh-CN"/>
        </w:rPr>
        <w:t xml:space="preserve"> Fica vedada a sublocação e subcontratação dos serviços contratados, no todo ou em parte, sem a prévia autorização das Secretarias.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2.6.6.2.</w:t>
      </w:r>
      <w:r>
        <w:rPr>
          <w:rFonts w:ascii="Cambria" w:hAnsi="Cambria"/>
          <w:sz w:val="24"/>
          <w:szCs w:val="24"/>
          <w:lang w:eastAsia="zh-CN"/>
        </w:rPr>
        <w:t xml:space="preserve"> A Contratada poderá solicitar autorização para sublocação ou subcontratação, mediante justificativa detalhada, à qual será avaliada e poderá ser aprovada ou não pelas Secretarias.</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2.6.7. PENALIDADES POR DESCUMPRIMENTO</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2.6.7.1. O DESCUMPRIMENTO DE QUALQUER DAS OBRIGAÇÕES ESTIPULADAS NESTA CLÁUSULA SUJEITARÁ A CONTRATADA A PENALIDADES, QUE PODERÃO INCLUIR: </w:t>
      </w:r>
    </w:p>
    <w:p>
      <w:pPr>
        <w:tabs>
          <w:tab w:val="left" w:pos="284"/>
          <w:tab w:val="left" w:pos="2525"/>
          <w:tab w:val="center" w:pos="4873"/>
        </w:tabs>
        <w:suppressAutoHyphens/>
        <w:jc w:val="both"/>
        <w:rPr>
          <w:rFonts w:ascii="Cambria" w:hAnsi="Cambria"/>
          <w:sz w:val="24"/>
          <w:szCs w:val="24"/>
          <w:lang w:eastAsia="zh-CN"/>
        </w:rPr>
      </w:pPr>
      <w:r>
        <w:rPr>
          <w:rFonts w:ascii="Cambria" w:hAnsi="Cambria"/>
          <w:sz w:val="24"/>
          <w:szCs w:val="24"/>
          <w:lang w:eastAsia="zh-CN"/>
        </w:rPr>
        <w:t xml:space="preserve">a) Advertências formais. </w:t>
      </w:r>
    </w:p>
    <w:p>
      <w:pPr>
        <w:tabs>
          <w:tab w:val="left" w:pos="284"/>
          <w:tab w:val="left" w:pos="2525"/>
          <w:tab w:val="center" w:pos="4873"/>
        </w:tabs>
        <w:suppressAutoHyphens/>
        <w:jc w:val="both"/>
        <w:rPr>
          <w:rFonts w:ascii="Cambria" w:hAnsi="Cambria"/>
          <w:sz w:val="24"/>
          <w:szCs w:val="24"/>
          <w:lang w:eastAsia="zh-CN"/>
        </w:rPr>
      </w:pPr>
      <w:r>
        <w:rPr>
          <w:rFonts w:ascii="Cambria" w:hAnsi="Cambria"/>
          <w:sz w:val="24"/>
          <w:szCs w:val="24"/>
          <w:lang w:eastAsia="zh-CN"/>
        </w:rPr>
        <w:t xml:space="preserve">b) Multas contratuais. </w:t>
      </w:r>
    </w:p>
    <w:p>
      <w:pPr>
        <w:tabs>
          <w:tab w:val="left" w:pos="284"/>
          <w:tab w:val="left" w:pos="2525"/>
          <w:tab w:val="center" w:pos="4873"/>
        </w:tabs>
        <w:suppressAutoHyphens/>
        <w:jc w:val="both"/>
        <w:rPr>
          <w:rFonts w:ascii="Cambria" w:hAnsi="Cambria"/>
          <w:sz w:val="24"/>
          <w:szCs w:val="24"/>
          <w:lang w:eastAsia="zh-CN"/>
        </w:rPr>
      </w:pPr>
      <w:r>
        <w:rPr>
          <w:rFonts w:ascii="Cambria" w:hAnsi="Cambria"/>
          <w:sz w:val="24"/>
          <w:szCs w:val="24"/>
          <w:lang w:eastAsia="zh-CN"/>
        </w:rPr>
        <w:t>c) Rescisão unilateral do contrato, com aplicação das penalidades cabíveis e reparação por danos causados.</w:t>
      </w:r>
    </w:p>
    <w:p>
      <w:pPr>
        <w:tabs>
          <w:tab w:val="left" w:pos="0"/>
        </w:tabs>
        <w:suppressAutoHyphens/>
        <w:jc w:val="both"/>
        <w:rPr>
          <w:rFonts w:ascii="Cambria" w:hAnsi="Cambria"/>
          <w:color w:val="0D0D0D"/>
          <w:sz w:val="24"/>
          <w:szCs w:val="24"/>
          <w:shd w:val="clear" w:color="auto" w:fill="FFFFFF"/>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 CLASSIFICAÇÃO ORÇAMENTÁRIA, DOS RECURSOS FINANCEIROS E ESTIMATIVA DA DESPESA</w:t>
      </w:r>
    </w:p>
    <w:p>
      <w:pPr>
        <w:tabs>
          <w:tab w:val="left" w:pos="426"/>
          <w:tab w:val="left" w:pos="2525"/>
          <w:tab w:val="center" w:pos="4873"/>
        </w:tabs>
        <w:suppressAutoHyphens/>
        <w:contextualSpacing/>
        <w:jc w:val="both"/>
        <w:rPr>
          <w:rFonts w:ascii="Cambria" w:hAnsi="Cambria"/>
          <w:b/>
          <w:sz w:val="24"/>
          <w:szCs w:val="24"/>
          <w:lang w:eastAsia="zh-CN"/>
        </w:rPr>
      </w:pPr>
    </w:p>
    <w:p>
      <w:pPr>
        <w:numPr>
          <w:ilvl w:val="1"/>
          <w:numId w:val="33"/>
        </w:numPr>
        <w:suppressAutoHyphens/>
        <w:spacing w:line="276" w:lineRule="auto"/>
        <w:ind w:left="284" w:hanging="284"/>
        <w:contextualSpacing/>
        <w:jc w:val="both"/>
        <w:rPr>
          <w:rFonts w:ascii="Cambria" w:hAnsi="Cambria"/>
          <w:b/>
          <w:bCs/>
          <w:sz w:val="24"/>
          <w:szCs w:val="24"/>
          <w:lang w:eastAsia="zh-CN"/>
        </w:rPr>
      </w:pPr>
      <w:r>
        <w:rPr>
          <w:rFonts w:ascii="Cambria" w:hAnsi="Cambria"/>
          <w:b/>
          <w:bCs/>
          <w:sz w:val="24"/>
          <w:szCs w:val="24"/>
          <w:lang w:eastAsia="zh-CN"/>
        </w:rPr>
        <w:t>Classificação Orçamentária dos Serviços</w:t>
      </w:r>
    </w:p>
    <w:p>
      <w:pPr>
        <w:suppressAutoHyphens/>
        <w:jc w:val="both"/>
        <w:rPr>
          <w:rFonts w:ascii="Cambria" w:hAnsi="Cambria"/>
          <w:b/>
          <w:bCs/>
          <w:sz w:val="24"/>
          <w:szCs w:val="24"/>
          <w:lang w:eastAsia="zh-CN"/>
        </w:rPr>
      </w:pPr>
      <w:r>
        <w:rPr>
          <w:rFonts w:ascii="Cambria" w:hAnsi="Cambria"/>
          <w:b/>
          <w:bCs/>
          <w:sz w:val="24"/>
          <w:szCs w:val="24"/>
          <w:lang w:eastAsia="zh-CN"/>
        </w:rPr>
        <w:t>Secretaria de Agricultura e Meio Ambiente:</w:t>
      </w:r>
    </w:p>
    <w:p>
      <w:pPr>
        <w:suppressAutoHyphens/>
        <w:jc w:val="both"/>
        <w:rPr>
          <w:rFonts w:ascii="Cambria" w:hAnsi="Cambria"/>
          <w:sz w:val="24"/>
          <w:szCs w:val="24"/>
          <w:lang w:eastAsia="zh-CN"/>
        </w:rPr>
      </w:pPr>
      <w:r>
        <w:rPr>
          <w:rFonts w:ascii="Cambria" w:hAnsi="Cambria"/>
          <w:sz w:val="24"/>
          <w:szCs w:val="24"/>
          <w:lang w:eastAsia="zh-CN"/>
        </w:rPr>
        <w:t>UNID. ORÇAMENTÁRIA 0601 – Secretaria Municipal de Agricultura e Meio Ambiente</w:t>
      </w:r>
    </w:p>
    <w:p>
      <w:pPr>
        <w:suppressAutoHyphens/>
        <w:jc w:val="both"/>
        <w:rPr>
          <w:rFonts w:ascii="Cambria" w:hAnsi="Cambria"/>
          <w:sz w:val="24"/>
          <w:szCs w:val="24"/>
          <w:lang w:eastAsia="zh-CN"/>
        </w:rPr>
      </w:pPr>
      <w:r>
        <w:rPr>
          <w:rFonts w:ascii="Cambria" w:hAnsi="Cambria"/>
          <w:sz w:val="24"/>
          <w:szCs w:val="24"/>
          <w:lang w:eastAsia="zh-CN"/>
        </w:rPr>
        <w:t>DOTAÇÕES ORÇAMENTÁRIAS: 20.122.0014.2.038 – Funcionamento da Secretaria Municipal de Agricultura e Meio Ambiente</w:t>
      </w:r>
    </w:p>
    <w:p>
      <w:pPr>
        <w:suppressAutoHyphens/>
        <w:jc w:val="both"/>
        <w:rPr>
          <w:rFonts w:ascii="Cambria" w:hAnsi="Cambria"/>
          <w:sz w:val="24"/>
          <w:szCs w:val="24"/>
          <w:lang w:eastAsia="zh-CN"/>
        </w:rPr>
      </w:pPr>
      <w:r>
        <w:rPr>
          <w:rFonts w:ascii="Cambria" w:hAnsi="Cambria"/>
          <w:sz w:val="24"/>
          <w:szCs w:val="24"/>
          <w:lang w:eastAsia="zh-CN"/>
        </w:rPr>
        <w:t xml:space="preserve">ELEMENTO DESPESA: </w:t>
      </w:r>
      <w:r>
        <w:rPr>
          <w:rFonts w:ascii="Cambria" w:hAnsi="Cambria" w:cstheme="minorHAnsi"/>
          <w:bCs/>
          <w:sz w:val="24"/>
          <w:szCs w:val="24"/>
        </w:rPr>
        <w:t>3.3.90.39.90 –</w:t>
      </w:r>
      <w:r>
        <w:rPr>
          <w:rFonts w:ascii="Cambria" w:hAnsi="Cambria" w:cstheme="minorHAnsi"/>
          <w:b/>
          <w:bCs/>
          <w:sz w:val="24"/>
          <w:szCs w:val="24"/>
        </w:rPr>
        <w:t xml:space="preserve"> </w:t>
      </w:r>
      <w:r>
        <w:rPr>
          <w:rFonts w:ascii="Cambria" w:hAnsi="Cambria" w:cstheme="minorHAnsi"/>
          <w:bCs/>
          <w:sz w:val="24"/>
          <w:szCs w:val="24"/>
        </w:rPr>
        <w:t>Outros serviços de terceiros/PJ</w:t>
      </w:r>
    </w:p>
    <w:p>
      <w:pPr>
        <w:suppressAutoHyphens/>
        <w:jc w:val="both"/>
        <w:rPr>
          <w:rFonts w:ascii="Cambria" w:hAnsi="Cambria"/>
          <w:b/>
          <w:bCs/>
          <w:sz w:val="24"/>
          <w:szCs w:val="24"/>
          <w:lang w:eastAsia="zh-CN"/>
        </w:rPr>
      </w:pPr>
      <w:r>
        <w:rPr>
          <w:rFonts w:ascii="Cambria" w:hAnsi="Cambria"/>
          <w:sz w:val="24"/>
          <w:szCs w:val="24"/>
          <w:lang w:eastAsia="zh-CN"/>
        </w:rPr>
        <w:t>FONTES: 1500000000</w:t>
      </w:r>
    </w:p>
    <w:p>
      <w:pPr>
        <w:suppressAutoHyphens/>
        <w:jc w:val="both"/>
        <w:rPr>
          <w:rFonts w:ascii="Cambria" w:hAnsi="Cambria"/>
          <w:b/>
          <w:bCs/>
          <w:sz w:val="24"/>
          <w:szCs w:val="24"/>
          <w:lang w:eastAsia="zh-CN"/>
        </w:rPr>
      </w:pPr>
      <w:r>
        <w:rPr>
          <w:rFonts w:ascii="Cambria" w:hAnsi="Cambria"/>
          <w:b/>
          <w:bCs/>
          <w:sz w:val="24"/>
          <w:szCs w:val="24"/>
          <w:lang w:eastAsia="zh-CN"/>
        </w:rPr>
        <w:t>Secretaria Municipal de Educação:</w:t>
      </w:r>
    </w:p>
    <w:p>
      <w:pPr>
        <w:suppressAutoHyphens/>
        <w:jc w:val="both"/>
        <w:rPr>
          <w:rFonts w:ascii="Cambria" w:hAnsi="Cambria"/>
          <w:sz w:val="24"/>
          <w:szCs w:val="24"/>
          <w:lang w:eastAsia="zh-CN"/>
        </w:rPr>
      </w:pPr>
      <w:r>
        <w:rPr>
          <w:rFonts w:ascii="Cambria" w:hAnsi="Cambria"/>
          <w:sz w:val="24"/>
          <w:szCs w:val="24"/>
          <w:lang w:eastAsia="zh-CN"/>
        </w:rPr>
        <w:t>UNID. ORÇAMENTÁRIA 1001 – Secretaria Municipal de Educação</w:t>
      </w:r>
    </w:p>
    <w:p>
      <w:pPr>
        <w:suppressAutoHyphens/>
        <w:jc w:val="both"/>
        <w:rPr>
          <w:rFonts w:ascii="Cambria" w:hAnsi="Cambria"/>
          <w:sz w:val="24"/>
          <w:szCs w:val="24"/>
          <w:lang w:eastAsia="zh-CN"/>
        </w:rPr>
      </w:pPr>
      <w:r>
        <w:rPr>
          <w:rFonts w:ascii="Cambria" w:hAnsi="Cambria"/>
          <w:sz w:val="24"/>
          <w:szCs w:val="24"/>
          <w:lang w:eastAsia="zh-CN"/>
        </w:rPr>
        <w:t>DOTAÇÕES ORÇAMENTÁRIAS: 12.122.0014.2.049 – Funcionamento da Secretaria Municipal de Educação.</w:t>
      </w:r>
    </w:p>
    <w:p>
      <w:pPr>
        <w:suppressAutoHyphens/>
        <w:jc w:val="both"/>
        <w:rPr>
          <w:rFonts w:ascii="Cambria" w:hAnsi="Cambria"/>
          <w:sz w:val="24"/>
          <w:szCs w:val="24"/>
          <w:lang w:eastAsia="zh-CN"/>
        </w:rPr>
      </w:pPr>
      <w:r>
        <w:rPr>
          <w:rFonts w:ascii="Cambria" w:hAnsi="Cambria"/>
          <w:sz w:val="24"/>
          <w:szCs w:val="24"/>
          <w:lang w:eastAsia="zh-CN"/>
        </w:rPr>
        <w:t xml:space="preserve">ELEMENTO DESPESA: </w:t>
      </w:r>
      <w:r>
        <w:rPr>
          <w:rFonts w:ascii="Cambria" w:hAnsi="Cambria" w:cstheme="minorHAnsi"/>
          <w:bCs/>
          <w:sz w:val="24"/>
          <w:szCs w:val="24"/>
        </w:rPr>
        <w:t>3.3.90.39.90 –</w:t>
      </w:r>
      <w:r>
        <w:rPr>
          <w:rFonts w:ascii="Cambria" w:hAnsi="Cambria" w:cstheme="minorHAnsi"/>
          <w:b/>
          <w:bCs/>
          <w:sz w:val="24"/>
          <w:szCs w:val="24"/>
        </w:rPr>
        <w:t xml:space="preserve"> </w:t>
      </w:r>
      <w:r>
        <w:rPr>
          <w:rFonts w:ascii="Cambria" w:hAnsi="Cambria" w:cstheme="minorHAnsi"/>
          <w:bCs/>
          <w:sz w:val="24"/>
          <w:szCs w:val="24"/>
        </w:rPr>
        <w:t>Outros serviços de terceiros/PJ</w:t>
      </w:r>
    </w:p>
    <w:p>
      <w:pPr>
        <w:suppressAutoHyphens/>
        <w:jc w:val="both"/>
        <w:rPr>
          <w:rFonts w:ascii="Cambria" w:hAnsi="Cambria"/>
          <w:b/>
          <w:bCs/>
          <w:sz w:val="24"/>
          <w:szCs w:val="24"/>
          <w:lang w:eastAsia="zh-CN"/>
        </w:rPr>
      </w:pPr>
      <w:r>
        <w:rPr>
          <w:rFonts w:ascii="Cambria" w:hAnsi="Cambria"/>
          <w:sz w:val="24"/>
          <w:szCs w:val="24"/>
          <w:lang w:eastAsia="zh-CN"/>
        </w:rPr>
        <w:t>FONTES: 1500100100</w:t>
      </w:r>
    </w:p>
    <w:p>
      <w:pPr>
        <w:suppressAutoHyphens/>
        <w:jc w:val="both"/>
        <w:rPr>
          <w:rFonts w:ascii="Cambria" w:hAnsi="Cambria"/>
          <w:b/>
          <w:bCs/>
          <w:sz w:val="24"/>
          <w:szCs w:val="24"/>
          <w:lang w:eastAsia="zh-CN"/>
        </w:rPr>
      </w:pPr>
      <w:r>
        <w:rPr>
          <w:rFonts w:ascii="Cambria" w:hAnsi="Cambria"/>
          <w:b/>
          <w:bCs/>
          <w:sz w:val="24"/>
          <w:szCs w:val="24"/>
          <w:lang w:eastAsia="zh-CN"/>
        </w:rPr>
        <w:t>Chefe do Gabinete da Prefeita:</w:t>
      </w:r>
    </w:p>
    <w:p>
      <w:pPr>
        <w:suppressAutoHyphens/>
        <w:jc w:val="both"/>
        <w:rPr>
          <w:rFonts w:ascii="Cambria" w:hAnsi="Cambria"/>
          <w:sz w:val="24"/>
          <w:szCs w:val="24"/>
          <w:lang w:eastAsia="zh-CN"/>
        </w:rPr>
      </w:pPr>
      <w:r>
        <w:rPr>
          <w:rFonts w:ascii="Cambria" w:hAnsi="Cambria"/>
          <w:sz w:val="24"/>
          <w:szCs w:val="24"/>
          <w:lang w:eastAsia="zh-CN"/>
        </w:rPr>
        <w:t>UNID. ORÇAMENTÁRIA 0101 – Gabinete do Prefeito</w:t>
      </w:r>
    </w:p>
    <w:p>
      <w:pPr>
        <w:suppressAutoHyphens/>
        <w:jc w:val="both"/>
        <w:rPr>
          <w:rFonts w:ascii="Cambria" w:hAnsi="Cambria"/>
          <w:sz w:val="24"/>
          <w:szCs w:val="24"/>
          <w:lang w:eastAsia="zh-CN"/>
        </w:rPr>
      </w:pPr>
      <w:r>
        <w:rPr>
          <w:rFonts w:ascii="Cambria" w:hAnsi="Cambria"/>
          <w:sz w:val="24"/>
          <w:szCs w:val="24"/>
          <w:lang w:eastAsia="zh-CN"/>
        </w:rPr>
        <w:t>DOTAÇÕES ORÇAMENTÁRIAS: 04.122.0014.2.002 - Funcionamento do Gabinete do Prefeito</w:t>
      </w:r>
    </w:p>
    <w:p>
      <w:pPr>
        <w:suppressAutoHyphens/>
        <w:jc w:val="both"/>
        <w:rPr>
          <w:rFonts w:ascii="Cambria" w:hAnsi="Cambria"/>
          <w:sz w:val="24"/>
          <w:szCs w:val="24"/>
          <w:lang w:eastAsia="zh-CN"/>
        </w:rPr>
      </w:pPr>
      <w:r>
        <w:rPr>
          <w:rFonts w:ascii="Cambria" w:hAnsi="Cambria"/>
          <w:sz w:val="24"/>
          <w:szCs w:val="24"/>
          <w:lang w:eastAsia="zh-CN"/>
        </w:rPr>
        <w:t xml:space="preserve">ELEMENTO DESPESA: </w:t>
      </w:r>
      <w:r>
        <w:rPr>
          <w:rFonts w:ascii="Cambria" w:hAnsi="Cambria" w:cstheme="minorHAnsi"/>
          <w:bCs/>
          <w:sz w:val="24"/>
          <w:szCs w:val="24"/>
        </w:rPr>
        <w:t>3.3.90.39.90 –</w:t>
      </w:r>
      <w:r>
        <w:rPr>
          <w:rFonts w:ascii="Cambria" w:hAnsi="Cambria" w:cstheme="minorHAnsi"/>
          <w:b/>
          <w:bCs/>
          <w:sz w:val="24"/>
          <w:szCs w:val="24"/>
        </w:rPr>
        <w:t xml:space="preserve"> </w:t>
      </w:r>
      <w:r>
        <w:rPr>
          <w:rFonts w:ascii="Cambria" w:hAnsi="Cambria" w:cstheme="minorHAnsi"/>
          <w:bCs/>
          <w:sz w:val="24"/>
          <w:szCs w:val="24"/>
        </w:rPr>
        <w:t>Outros serviços de terceiros/PJ</w:t>
      </w:r>
    </w:p>
    <w:p>
      <w:pPr>
        <w:suppressAutoHyphens/>
        <w:jc w:val="both"/>
        <w:rPr>
          <w:rFonts w:ascii="Cambria" w:hAnsi="Cambria"/>
          <w:b/>
          <w:bCs/>
          <w:sz w:val="24"/>
          <w:szCs w:val="24"/>
          <w:lang w:eastAsia="zh-CN"/>
        </w:rPr>
      </w:pPr>
      <w:r>
        <w:rPr>
          <w:rFonts w:ascii="Cambria" w:hAnsi="Cambria"/>
          <w:sz w:val="24"/>
          <w:szCs w:val="24"/>
          <w:lang w:eastAsia="zh-CN"/>
        </w:rPr>
        <w:t>FONTES: 1500000000</w:t>
      </w:r>
    </w:p>
    <w:p>
      <w:pPr>
        <w:suppressAutoHyphens/>
        <w:jc w:val="both"/>
        <w:rPr>
          <w:rFonts w:ascii="Cambria" w:hAnsi="Cambria"/>
          <w:b/>
          <w:bCs/>
          <w:sz w:val="24"/>
          <w:szCs w:val="24"/>
          <w:lang w:eastAsia="zh-CN"/>
        </w:rPr>
      </w:pPr>
      <w:r>
        <w:rPr>
          <w:rFonts w:ascii="Cambria" w:hAnsi="Cambria"/>
          <w:b/>
          <w:bCs/>
          <w:sz w:val="24"/>
          <w:szCs w:val="24"/>
          <w:lang w:eastAsia="zh-CN"/>
        </w:rPr>
        <w:t xml:space="preserve">Secretaria de Infraestrutura e Serviços Públicos: </w:t>
      </w:r>
    </w:p>
    <w:p>
      <w:pPr>
        <w:suppressAutoHyphens/>
        <w:jc w:val="both"/>
        <w:rPr>
          <w:rFonts w:ascii="Cambria" w:hAnsi="Cambria"/>
          <w:sz w:val="24"/>
          <w:szCs w:val="24"/>
          <w:lang w:eastAsia="zh-CN"/>
        </w:rPr>
      </w:pPr>
      <w:r>
        <w:rPr>
          <w:rFonts w:ascii="Cambria" w:hAnsi="Cambria"/>
          <w:sz w:val="24"/>
          <w:szCs w:val="24"/>
          <w:lang w:eastAsia="zh-CN"/>
        </w:rPr>
        <w:t>UNID. ORÇAMENTÁRIA 0701 – Secretaria de Infraestrutura e Serviços Públicos</w:t>
      </w:r>
    </w:p>
    <w:p>
      <w:pPr>
        <w:suppressAutoHyphens/>
        <w:jc w:val="both"/>
        <w:rPr>
          <w:rFonts w:ascii="Cambria" w:hAnsi="Cambria"/>
          <w:sz w:val="24"/>
          <w:szCs w:val="24"/>
          <w:lang w:eastAsia="zh-CN"/>
        </w:rPr>
      </w:pPr>
      <w:r>
        <w:rPr>
          <w:rFonts w:ascii="Cambria" w:hAnsi="Cambria"/>
          <w:sz w:val="24"/>
          <w:szCs w:val="24"/>
          <w:lang w:eastAsia="zh-CN"/>
        </w:rPr>
        <w:t>DOTAÇÕES ORÇAMENTÁRIAS: 451.0014.2.044 – Funcionamento da Secretaria Municipal de Infraestrutura e Serviços Públicos.</w:t>
      </w:r>
    </w:p>
    <w:p>
      <w:pPr>
        <w:suppressAutoHyphens/>
        <w:jc w:val="both"/>
        <w:rPr>
          <w:rFonts w:ascii="Cambria" w:hAnsi="Cambria"/>
          <w:sz w:val="24"/>
          <w:szCs w:val="24"/>
          <w:lang w:eastAsia="zh-CN"/>
        </w:rPr>
      </w:pPr>
      <w:r>
        <w:rPr>
          <w:rFonts w:ascii="Cambria" w:hAnsi="Cambria"/>
          <w:sz w:val="24"/>
          <w:szCs w:val="24"/>
          <w:lang w:eastAsia="zh-CN"/>
        </w:rPr>
        <w:t xml:space="preserve">ELEMENTO DESPESA: </w:t>
      </w:r>
      <w:r>
        <w:rPr>
          <w:rFonts w:ascii="Cambria" w:hAnsi="Cambria" w:cstheme="minorHAnsi"/>
          <w:bCs/>
          <w:sz w:val="24"/>
          <w:szCs w:val="24"/>
        </w:rPr>
        <w:t>3.3.90.39.90 –</w:t>
      </w:r>
      <w:r>
        <w:rPr>
          <w:rFonts w:ascii="Cambria" w:hAnsi="Cambria" w:cstheme="minorHAnsi"/>
          <w:b/>
          <w:bCs/>
          <w:sz w:val="24"/>
          <w:szCs w:val="24"/>
        </w:rPr>
        <w:t xml:space="preserve"> </w:t>
      </w:r>
      <w:r>
        <w:rPr>
          <w:rFonts w:ascii="Cambria" w:hAnsi="Cambria" w:cstheme="minorHAnsi"/>
          <w:bCs/>
          <w:sz w:val="24"/>
          <w:szCs w:val="24"/>
        </w:rPr>
        <w:t>Outros serviços de terceiros/PJ</w:t>
      </w:r>
    </w:p>
    <w:p>
      <w:pPr>
        <w:suppressAutoHyphens/>
        <w:jc w:val="both"/>
        <w:rPr>
          <w:rFonts w:ascii="Cambria" w:hAnsi="Cambria"/>
          <w:b/>
          <w:bCs/>
          <w:sz w:val="24"/>
          <w:szCs w:val="24"/>
          <w:lang w:eastAsia="zh-CN"/>
        </w:rPr>
      </w:pPr>
      <w:r>
        <w:rPr>
          <w:rFonts w:ascii="Cambria" w:hAnsi="Cambria"/>
          <w:sz w:val="24"/>
          <w:szCs w:val="24"/>
          <w:lang w:eastAsia="zh-CN"/>
        </w:rPr>
        <w:t>FONTES: 1500000000</w:t>
      </w:r>
    </w:p>
    <w:p>
      <w:pPr>
        <w:suppressAutoHyphens/>
        <w:jc w:val="both"/>
        <w:rPr>
          <w:rFonts w:ascii="Cambria" w:hAnsi="Cambria"/>
          <w:b/>
          <w:bCs/>
          <w:sz w:val="24"/>
          <w:szCs w:val="24"/>
          <w:lang w:eastAsia="zh-CN"/>
        </w:rPr>
      </w:pPr>
      <w:r>
        <w:rPr>
          <w:rFonts w:ascii="Cambria" w:hAnsi="Cambria"/>
          <w:b/>
          <w:bCs/>
          <w:sz w:val="24"/>
          <w:szCs w:val="24"/>
          <w:lang w:eastAsia="zh-CN"/>
        </w:rPr>
        <w:lastRenderedPageBreak/>
        <w:t>Secretaria Municipal de Saúde:</w:t>
      </w:r>
    </w:p>
    <w:p>
      <w:pPr>
        <w:suppressAutoHyphens/>
        <w:jc w:val="both"/>
        <w:rPr>
          <w:rFonts w:ascii="Cambria" w:hAnsi="Cambria"/>
          <w:sz w:val="24"/>
          <w:szCs w:val="24"/>
          <w:lang w:eastAsia="zh-CN"/>
        </w:rPr>
      </w:pPr>
      <w:r>
        <w:rPr>
          <w:rFonts w:ascii="Cambria" w:hAnsi="Cambria"/>
          <w:sz w:val="24"/>
          <w:szCs w:val="24"/>
          <w:lang w:eastAsia="zh-CN"/>
        </w:rPr>
        <w:t>UNID. ORÇAMENTÁRIA 0401 – Secretaria de Saúde</w:t>
      </w:r>
    </w:p>
    <w:p>
      <w:pPr>
        <w:suppressAutoHyphens/>
        <w:jc w:val="both"/>
        <w:rPr>
          <w:rFonts w:ascii="Cambria" w:hAnsi="Cambria"/>
          <w:sz w:val="24"/>
          <w:szCs w:val="24"/>
          <w:lang w:eastAsia="zh-CN"/>
        </w:rPr>
      </w:pPr>
      <w:r>
        <w:rPr>
          <w:rFonts w:ascii="Cambria" w:hAnsi="Cambria"/>
          <w:sz w:val="24"/>
          <w:szCs w:val="24"/>
          <w:lang w:eastAsia="zh-CN"/>
        </w:rPr>
        <w:t>DOTAÇÕES ORÇAMENTÁRIAS: 10.122.0014.1.008 – Recursos Próprios – Secretaria de Saúde</w:t>
      </w:r>
    </w:p>
    <w:p>
      <w:pPr>
        <w:suppressAutoHyphens/>
        <w:jc w:val="both"/>
        <w:rPr>
          <w:rFonts w:ascii="Cambria" w:hAnsi="Cambria"/>
          <w:sz w:val="24"/>
          <w:szCs w:val="24"/>
          <w:lang w:eastAsia="zh-CN"/>
        </w:rPr>
      </w:pPr>
      <w:r>
        <w:rPr>
          <w:rFonts w:ascii="Cambria" w:hAnsi="Cambria"/>
          <w:sz w:val="24"/>
          <w:szCs w:val="24"/>
          <w:lang w:eastAsia="zh-CN"/>
        </w:rPr>
        <w:t xml:space="preserve">ELEMENTO DESPESA: </w:t>
      </w:r>
      <w:r>
        <w:rPr>
          <w:rFonts w:ascii="Cambria" w:hAnsi="Cambria" w:cstheme="minorHAnsi"/>
          <w:bCs/>
          <w:sz w:val="24"/>
          <w:szCs w:val="24"/>
        </w:rPr>
        <w:t>3.3.90.39.90 –</w:t>
      </w:r>
      <w:r>
        <w:rPr>
          <w:rFonts w:ascii="Cambria" w:hAnsi="Cambria" w:cstheme="minorHAnsi"/>
          <w:b/>
          <w:bCs/>
          <w:sz w:val="24"/>
          <w:szCs w:val="24"/>
        </w:rPr>
        <w:t xml:space="preserve"> </w:t>
      </w:r>
      <w:r>
        <w:rPr>
          <w:rFonts w:ascii="Cambria" w:hAnsi="Cambria" w:cstheme="minorHAnsi"/>
          <w:bCs/>
          <w:sz w:val="24"/>
          <w:szCs w:val="24"/>
        </w:rPr>
        <w:t>Outros serviços de terceiros/PJ</w:t>
      </w:r>
    </w:p>
    <w:p>
      <w:pPr>
        <w:suppressAutoHyphens/>
        <w:jc w:val="both"/>
        <w:rPr>
          <w:rFonts w:ascii="Cambria" w:hAnsi="Cambria"/>
          <w:b/>
          <w:bCs/>
          <w:sz w:val="24"/>
          <w:szCs w:val="24"/>
          <w:lang w:eastAsia="zh-CN"/>
        </w:rPr>
      </w:pPr>
      <w:r>
        <w:rPr>
          <w:rFonts w:ascii="Cambria" w:hAnsi="Cambria"/>
          <w:sz w:val="24"/>
          <w:szCs w:val="24"/>
          <w:lang w:eastAsia="zh-CN"/>
        </w:rPr>
        <w:t>FONTES: 1500100200</w:t>
      </w:r>
    </w:p>
    <w:p>
      <w:pPr>
        <w:suppressAutoHyphens/>
        <w:jc w:val="both"/>
        <w:rPr>
          <w:rFonts w:ascii="Cambria" w:hAnsi="Cambria"/>
          <w:b/>
          <w:sz w:val="24"/>
          <w:szCs w:val="24"/>
          <w:lang w:eastAsia="zh-CN"/>
        </w:rPr>
      </w:pPr>
    </w:p>
    <w:p>
      <w:pPr>
        <w:pStyle w:val="PargrafodaLista"/>
        <w:widowControl w:val="0"/>
        <w:numPr>
          <w:ilvl w:val="1"/>
          <w:numId w:val="33"/>
        </w:numPr>
        <w:suppressAutoHyphens/>
        <w:autoSpaceDE w:val="0"/>
        <w:autoSpaceDN w:val="0"/>
        <w:spacing w:after="0" w:line="240" w:lineRule="auto"/>
        <w:ind w:hanging="1068"/>
        <w:contextualSpacing w:val="0"/>
        <w:jc w:val="both"/>
        <w:rPr>
          <w:rFonts w:ascii="Cambria" w:hAnsi="Cambria"/>
          <w:b/>
          <w:sz w:val="24"/>
          <w:szCs w:val="24"/>
          <w:lang w:eastAsia="zh-CN"/>
        </w:rPr>
      </w:pPr>
      <w:r>
        <w:rPr>
          <w:rFonts w:ascii="Cambria" w:hAnsi="Cambria"/>
          <w:b/>
          <w:sz w:val="24"/>
          <w:szCs w:val="24"/>
          <w:lang w:eastAsia="zh-CN"/>
        </w:rPr>
        <w:t>Justificativa quanto ao sigilo do orçamento:</w:t>
      </w:r>
    </w:p>
    <w:p>
      <w:pPr>
        <w:suppressAutoHyphens/>
        <w:jc w:val="both"/>
        <w:rPr>
          <w:rFonts w:ascii="Cambria" w:hAnsi="Cambria"/>
          <w:bCs/>
          <w:sz w:val="24"/>
          <w:szCs w:val="24"/>
          <w:lang w:eastAsia="zh-CN"/>
        </w:rPr>
      </w:pPr>
      <w:r>
        <w:rPr>
          <w:rFonts w:ascii="Cambria" w:hAnsi="Cambria"/>
          <w:bCs/>
          <w:sz w:val="24"/>
          <w:szCs w:val="24"/>
          <w:lang w:eastAsia="zh-CN"/>
        </w:rPr>
        <w:t>Não haverá caráter sigiloso para a presente licitação.</w:t>
      </w:r>
    </w:p>
    <w:p>
      <w:pPr>
        <w:tabs>
          <w:tab w:val="left" w:pos="284"/>
        </w:tabs>
        <w:suppressAutoHyphens/>
        <w:jc w:val="both"/>
        <w:rPr>
          <w:rFonts w:ascii="Cambria" w:hAnsi="Cambria"/>
          <w:b/>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Metodologia do orçamento:</w:t>
      </w:r>
    </w:p>
    <w:p>
      <w:pPr>
        <w:tabs>
          <w:tab w:val="left" w:pos="284"/>
        </w:tabs>
        <w:suppressAutoHyphens/>
        <w:jc w:val="both"/>
        <w:rPr>
          <w:rFonts w:ascii="Cambria" w:hAnsi="Cambria"/>
          <w:b/>
          <w:sz w:val="24"/>
          <w:szCs w:val="24"/>
          <w:lang w:eastAsia="zh-CN"/>
        </w:rPr>
      </w:pPr>
      <w:r>
        <w:rPr>
          <w:rFonts w:ascii="Cambria" w:hAnsi="Cambria"/>
          <w:sz w:val="24"/>
          <w:szCs w:val="24"/>
          <w:lang w:eastAsia="zh-CN"/>
        </w:rPr>
        <w:t>Orçamento baseado em pesquisas de preços realizadas pelo Setor de Compras do município, conforme Mapa comparativo de preços em anexo aos autos.</w:t>
      </w:r>
    </w:p>
    <w:p>
      <w:pPr>
        <w:tabs>
          <w:tab w:val="left" w:pos="284"/>
        </w:tabs>
        <w:suppressAutoHyphens/>
        <w:jc w:val="both"/>
        <w:rPr>
          <w:rFonts w:ascii="Cambria" w:hAnsi="Cambria"/>
          <w:b/>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REQUISITOS GERAIS DA CONTRATAÇÃO.</w:t>
      </w:r>
    </w:p>
    <w:p>
      <w:pPr>
        <w:tabs>
          <w:tab w:val="left" w:pos="426"/>
          <w:tab w:val="left" w:pos="2525"/>
          <w:tab w:val="center" w:pos="4873"/>
        </w:tabs>
        <w:suppressAutoHyphens/>
        <w:contextualSpacing/>
        <w:jc w:val="both"/>
        <w:rPr>
          <w:rFonts w:ascii="Cambria" w:hAnsi="Cambria"/>
          <w:b/>
          <w:sz w:val="24"/>
          <w:szCs w:val="24"/>
          <w:lang w:eastAsia="zh-CN"/>
        </w:rPr>
      </w:pPr>
    </w:p>
    <w:p>
      <w:pPr>
        <w:numPr>
          <w:ilvl w:val="1"/>
          <w:numId w:val="33"/>
        </w:numPr>
        <w:tabs>
          <w:tab w:val="left" w:pos="426"/>
          <w:tab w:val="left" w:pos="993"/>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Sustentabilidade:</w:t>
      </w:r>
    </w:p>
    <w:p>
      <w:pPr>
        <w:numPr>
          <w:ilvl w:val="2"/>
          <w:numId w:val="33"/>
        </w:numPr>
        <w:tabs>
          <w:tab w:val="left" w:pos="567"/>
          <w:tab w:val="left" w:pos="709"/>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quando for o caso e ou as rotinas de fiscalização e padrões de desempenho, as quais analisarão tais requisitos, quando exigidos.</w:t>
      </w:r>
    </w:p>
    <w:p>
      <w:pPr>
        <w:tabs>
          <w:tab w:val="left" w:pos="567"/>
          <w:tab w:val="left" w:pos="2525"/>
          <w:tab w:val="center" w:pos="4873"/>
        </w:tabs>
        <w:spacing w:line="276" w:lineRule="auto"/>
        <w:contextualSpacing/>
        <w:jc w:val="both"/>
        <w:rPr>
          <w:rFonts w:ascii="Cambria" w:hAnsi="Cambria"/>
          <w:bCs/>
          <w:sz w:val="24"/>
          <w:szCs w:val="24"/>
          <w:lang w:eastAsia="zh-CN"/>
        </w:rPr>
      </w:pPr>
    </w:p>
    <w:p>
      <w:pPr>
        <w:numPr>
          <w:ilvl w:val="1"/>
          <w:numId w:val="33"/>
        </w:numPr>
        <w:tabs>
          <w:tab w:val="left" w:pos="426"/>
          <w:tab w:val="left" w:pos="2127"/>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Indicação de marcas ou modelo:</w:t>
      </w:r>
    </w:p>
    <w:p>
      <w:pPr>
        <w:numPr>
          <w:ilvl w:val="2"/>
          <w:numId w:val="33"/>
        </w:numPr>
        <w:tabs>
          <w:tab w:val="left" w:pos="567"/>
          <w:tab w:val="left" w:pos="709"/>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Não se aplica.</w:t>
      </w:r>
    </w:p>
    <w:p>
      <w:pPr>
        <w:tabs>
          <w:tab w:val="left" w:pos="426"/>
          <w:tab w:val="left" w:pos="2525"/>
          <w:tab w:val="center" w:pos="4873"/>
        </w:tabs>
        <w:suppressAutoHyphens/>
        <w:contextualSpacing/>
        <w:jc w:val="both"/>
        <w:rPr>
          <w:rFonts w:ascii="Cambria" w:hAnsi="Cambria"/>
          <w:bCs/>
          <w:sz w:val="24"/>
          <w:szCs w:val="24"/>
          <w:highlight w:val="yellow"/>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 xml:space="preserve">Da vedação de utilização de marca/produto </w:t>
      </w:r>
    </w:p>
    <w:p>
      <w:pPr>
        <w:numPr>
          <w:ilvl w:val="2"/>
          <w:numId w:val="33"/>
        </w:numPr>
        <w:tabs>
          <w:tab w:val="left" w:pos="567"/>
          <w:tab w:val="left" w:pos="709"/>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Não se aplica.</w:t>
      </w:r>
    </w:p>
    <w:p>
      <w:pPr>
        <w:tabs>
          <w:tab w:val="left" w:pos="567"/>
          <w:tab w:val="left" w:pos="2525"/>
          <w:tab w:val="center" w:pos="4873"/>
        </w:tabs>
        <w:suppressAutoHyphens/>
        <w:contextualSpacing/>
        <w:jc w:val="both"/>
        <w:rPr>
          <w:rFonts w:ascii="Cambria" w:hAnsi="Cambria"/>
          <w:bCs/>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 exigência de amostra:</w:t>
      </w:r>
    </w:p>
    <w:p>
      <w:pPr>
        <w:numPr>
          <w:ilvl w:val="2"/>
          <w:numId w:val="33"/>
        </w:numPr>
        <w:tabs>
          <w:tab w:val="left" w:pos="567"/>
          <w:tab w:val="center"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Não se aplica.</w:t>
      </w:r>
    </w:p>
    <w:p>
      <w:pPr>
        <w:tabs>
          <w:tab w:val="left" w:pos="426"/>
          <w:tab w:val="left" w:pos="2525"/>
          <w:tab w:val="center" w:pos="4873"/>
        </w:tabs>
        <w:suppressAutoHyphens/>
        <w:spacing w:line="276" w:lineRule="auto"/>
        <w:jc w:val="both"/>
        <w:rPr>
          <w:rFonts w:ascii="Cambria" w:hAnsi="Cambria"/>
          <w:bCs/>
          <w:sz w:val="24"/>
          <w:szCs w:val="24"/>
          <w:lang w:eastAsia="zh-CN"/>
        </w:rPr>
      </w:pPr>
    </w:p>
    <w:p>
      <w:pPr>
        <w:pStyle w:val="PargrafodaLista"/>
        <w:numPr>
          <w:ilvl w:val="1"/>
          <w:numId w:val="33"/>
        </w:numPr>
        <w:tabs>
          <w:tab w:val="left" w:pos="426"/>
          <w:tab w:val="left" w:pos="2525"/>
          <w:tab w:val="center" w:pos="4873"/>
        </w:tabs>
        <w:suppressAutoHyphens/>
        <w:spacing w:after="0" w:line="276" w:lineRule="auto"/>
        <w:ind w:left="284" w:hanging="284"/>
        <w:jc w:val="both"/>
        <w:rPr>
          <w:rFonts w:ascii="Cambria" w:hAnsi="Cambria"/>
          <w:b/>
          <w:sz w:val="24"/>
          <w:szCs w:val="24"/>
          <w:lang w:eastAsia="zh-CN"/>
        </w:rPr>
      </w:pPr>
      <w:r>
        <w:rPr>
          <w:rFonts w:ascii="Cambria" w:hAnsi="Cambria"/>
          <w:b/>
          <w:sz w:val="24"/>
          <w:szCs w:val="24"/>
          <w:lang w:eastAsia="zh-CN"/>
        </w:rPr>
        <w:t>Da sublocação e subcontratação:</w:t>
      </w:r>
    </w:p>
    <w:p>
      <w:pPr>
        <w:pStyle w:val="PargrafodaLista"/>
        <w:numPr>
          <w:ilvl w:val="2"/>
          <w:numId w:val="33"/>
        </w:numPr>
        <w:tabs>
          <w:tab w:val="left" w:pos="567"/>
          <w:tab w:val="left" w:pos="709"/>
          <w:tab w:val="center" w:pos="4873"/>
        </w:tabs>
        <w:suppressAutoHyphens/>
        <w:spacing w:after="0" w:line="276" w:lineRule="auto"/>
        <w:ind w:left="12" w:hanging="12"/>
        <w:jc w:val="both"/>
        <w:rPr>
          <w:rFonts w:ascii="Cambria" w:hAnsi="Cambria"/>
          <w:bCs/>
          <w:sz w:val="24"/>
          <w:szCs w:val="24"/>
          <w:lang w:eastAsia="zh-CN"/>
        </w:rPr>
      </w:pPr>
      <w:r>
        <w:rPr>
          <w:rFonts w:ascii="Cambria" w:hAnsi="Cambria"/>
          <w:bCs/>
          <w:sz w:val="24"/>
          <w:szCs w:val="24"/>
          <w:lang w:eastAsia="zh-CN"/>
        </w:rPr>
        <w:t>Não é admitida a sublocação e/ou subcontratação em parte ou na totalidade do objeto contratual, sem a devida justificativa e autorização a critério da administração conforme previsão constante do Estudo Técnico Preliminar - ETP.</w:t>
      </w:r>
    </w:p>
    <w:p>
      <w:pPr>
        <w:tabs>
          <w:tab w:val="left" w:pos="567"/>
          <w:tab w:val="left" w:pos="2525"/>
          <w:tab w:val="center" w:pos="4873"/>
        </w:tabs>
        <w:suppressAutoHyphens/>
        <w:contextualSpacing/>
        <w:jc w:val="both"/>
        <w:rPr>
          <w:rFonts w:ascii="Cambria" w:hAnsi="Cambria"/>
          <w:bCs/>
          <w:sz w:val="24"/>
          <w:szCs w:val="24"/>
          <w:highlight w:val="yellow"/>
          <w:lang w:eastAsia="zh-CN"/>
        </w:rPr>
      </w:pPr>
    </w:p>
    <w:p>
      <w:pPr>
        <w:numPr>
          <w:ilvl w:val="1"/>
          <w:numId w:val="33"/>
        </w:numPr>
        <w:ind w:left="0" w:firstLine="0"/>
        <w:jc w:val="both"/>
        <w:rPr>
          <w:rFonts w:ascii="Cambria" w:hAnsi="Cambria"/>
          <w:b/>
          <w:bCs/>
          <w:iCs/>
          <w:sz w:val="24"/>
          <w:szCs w:val="24"/>
        </w:rPr>
      </w:pPr>
      <w:r>
        <w:rPr>
          <w:rFonts w:ascii="Cambria" w:hAnsi="Cambria"/>
          <w:b/>
          <w:bCs/>
          <w:iCs/>
          <w:sz w:val="24"/>
          <w:szCs w:val="24"/>
        </w:rPr>
        <w:t xml:space="preserve">garantia da proposta: </w:t>
      </w:r>
      <w:r>
        <w:rPr>
          <w:rFonts w:ascii="Cambria" w:hAnsi="Cambria"/>
          <w:b/>
          <w:bCs/>
          <w:iCs/>
          <w:color w:val="FFFFFF" w:themeColor="background1"/>
          <w:sz w:val="24"/>
          <w:szCs w:val="24"/>
        </w:rPr>
        <w:t>...</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 xml:space="preserve">Será exigido o recolhimento referente a 1% (um por cento) do valor estimado pela Administração para a contratação a título de garantia de proposta, devendo ser </w:t>
      </w:r>
      <w:r>
        <w:rPr>
          <w:rFonts w:ascii="Cambria" w:hAnsi="Cambria" w:cs="Times New Roman"/>
          <w:sz w:val="24"/>
          <w:szCs w:val="24"/>
        </w:rPr>
        <w:lastRenderedPageBreak/>
        <w:t xml:space="preserve">encaminhada no ato do cadastramento da proposta eletrônica, </w:t>
      </w:r>
      <w:r>
        <w:rPr>
          <w:rFonts w:ascii="Cambria" w:hAnsi="Cambria" w:cs="Times New Roman"/>
          <w:b/>
          <w:bCs/>
          <w:sz w:val="24"/>
          <w:szCs w:val="24"/>
        </w:rPr>
        <w:t>EXCLUSIVAMENTE no sistema eletrônico.</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A garantia de proposta será devolvida aos licitantes no prazo de 10 (dez) dias úteis, contado da assinatura do contrato ou da data em que for declarada fracassada a licitação.</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Implicará execução do valor integral da garantia de proposta a recusa em assinar o contrato ou a não apresentação dos documentos para a contratação.</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A garantia de proposta poderá ser prestada nas seguintes modalidades:</w:t>
      </w:r>
    </w:p>
    <w:p>
      <w:pPr>
        <w:pStyle w:val="Nivel4"/>
        <w:tabs>
          <w:tab w:val="clear" w:pos="360"/>
        </w:tabs>
        <w:spacing w:before="0" w:after="0" w:line="240" w:lineRule="auto"/>
        <w:ind w:left="0" w:firstLine="0"/>
        <w:rPr>
          <w:rFonts w:ascii="Cambria" w:hAnsi="Cambria" w:cs="Times New Roman"/>
          <w:sz w:val="24"/>
          <w:szCs w:val="24"/>
        </w:rPr>
      </w:pPr>
      <w:r>
        <w:rPr>
          <w:rFonts w:ascii="Cambria" w:hAnsi="Cambria" w:cs="Times New Roman"/>
          <w:b/>
          <w:bCs/>
          <w:sz w:val="24"/>
          <w:szCs w:val="24"/>
        </w:rPr>
        <w:t>a)</w:t>
      </w:r>
      <w:r>
        <w:rPr>
          <w:rFonts w:ascii="Cambria" w:hAnsi="Cambria" w:cs="Times New Roman"/>
          <w:sz w:val="24"/>
          <w:szCs w:val="24"/>
        </w:rPr>
        <w:t xml:space="preserve"> </w:t>
      </w:r>
      <w:r>
        <w:rPr>
          <w:rFonts w:ascii="Cambria" w:hAnsi="Cambria" w:cs="Times New Roman"/>
          <w:sz w:val="24"/>
          <w:szCs w:val="24"/>
          <w:u w:val="single"/>
        </w:rPr>
        <w:t>CAUÇÃO EM DINHEIRO</w:t>
      </w:r>
      <w:r>
        <w:rPr>
          <w:rFonts w:ascii="Cambria" w:hAnsi="Cambria" w:cs="Times New Roman"/>
          <w:sz w:val="24"/>
          <w:szCs w:val="24"/>
        </w:rPr>
        <w:t xml:space="preserve">: Deverá ser efetuada em favor da contratante, em conta específica no </w:t>
      </w:r>
      <w:r>
        <w:rPr>
          <w:rFonts w:ascii="Cambria" w:hAnsi="Cambria" w:cs="Times New Roman"/>
          <w:b/>
          <w:bCs/>
          <w:sz w:val="24"/>
          <w:szCs w:val="24"/>
        </w:rPr>
        <w:t>Banco do Brasil, Agência 0374-3, Conta 10.714-X</w:t>
      </w:r>
      <w:r>
        <w:rPr>
          <w:rFonts w:ascii="Cambria" w:hAnsi="Cambria" w:cs="Times New Roman"/>
          <w:sz w:val="24"/>
          <w:szCs w:val="24"/>
        </w:rPr>
        <w:t>, com comprovante de depósito em seu formato original;</w:t>
      </w:r>
    </w:p>
    <w:p>
      <w:pPr>
        <w:pStyle w:val="Nivel4"/>
        <w:tabs>
          <w:tab w:val="clear" w:pos="360"/>
        </w:tabs>
        <w:spacing w:before="0" w:after="0" w:line="240" w:lineRule="auto"/>
        <w:ind w:left="0" w:firstLine="0"/>
        <w:rPr>
          <w:rFonts w:ascii="Cambria" w:hAnsi="Cambria" w:cs="Times New Roman"/>
          <w:sz w:val="24"/>
          <w:szCs w:val="24"/>
        </w:rPr>
      </w:pPr>
      <w:r>
        <w:rPr>
          <w:rFonts w:ascii="Cambria" w:hAnsi="Cambria" w:cs="Times New Roman"/>
          <w:b/>
          <w:bCs/>
          <w:sz w:val="24"/>
          <w:szCs w:val="24"/>
        </w:rPr>
        <w:t>b)</w:t>
      </w:r>
      <w:r>
        <w:rPr>
          <w:rFonts w:ascii="Cambria" w:hAnsi="Cambria" w:cs="Times New Roman"/>
          <w:sz w:val="24"/>
          <w:szCs w:val="24"/>
        </w:rPr>
        <w:t xml:space="preserve"> </w:t>
      </w:r>
      <w:r>
        <w:rPr>
          <w:rFonts w:ascii="Cambria" w:hAnsi="Cambria" w:cs="Times New Roman"/>
          <w:sz w:val="24"/>
          <w:szCs w:val="24"/>
          <w:u w:val="single"/>
        </w:rPr>
        <w:t>TÍTULOS DA DÍVIDA PÚBLICA</w:t>
      </w:r>
      <w:r>
        <w:rPr>
          <w:rFonts w:ascii="Cambria" w:hAnsi="Cambria" w:cs="Times New Roman"/>
          <w:sz w:val="24"/>
          <w:szCs w:val="24"/>
        </w:rPr>
        <w:t>: Deverá ser emitido sob a forma escritural, mediante registro em sistema centralizado de liquidação e de custódia autorizado pelo Banco Central do Brasil, e avaliados por seus valores econômicos, conforme definido pelo Ministério da Economia, sendo aceitos como título da dívida pública apenas Letras do Tesouro Nacional - LTN, Letras Financeiras do Tesouro - LFT, Notas do Tesouro Nacional - série C - NTN-C ou Notas do Tesouro Nacional - série B - NTN-B;</w:t>
      </w:r>
    </w:p>
    <w:p>
      <w:pPr>
        <w:pStyle w:val="Nivel4"/>
        <w:tabs>
          <w:tab w:val="clear" w:pos="360"/>
        </w:tabs>
        <w:spacing w:before="0" w:after="0" w:line="240" w:lineRule="auto"/>
        <w:ind w:left="0" w:firstLine="0"/>
        <w:rPr>
          <w:rFonts w:ascii="Cambria" w:hAnsi="Cambria" w:cs="Times New Roman"/>
          <w:sz w:val="24"/>
          <w:szCs w:val="24"/>
        </w:rPr>
      </w:pPr>
      <w:r>
        <w:rPr>
          <w:rFonts w:ascii="Cambria" w:hAnsi="Cambria" w:cs="Times New Roman"/>
          <w:b/>
          <w:bCs/>
          <w:sz w:val="24"/>
          <w:szCs w:val="24"/>
        </w:rPr>
        <w:t>c)</w:t>
      </w:r>
      <w:r>
        <w:rPr>
          <w:rFonts w:ascii="Cambria" w:hAnsi="Cambria" w:cs="Times New Roman"/>
          <w:sz w:val="24"/>
          <w:szCs w:val="24"/>
        </w:rPr>
        <w:t xml:space="preserve"> </w:t>
      </w:r>
      <w:r>
        <w:rPr>
          <w:rFonts w:ascii="Cambria" w:hAnsi="Cambria" w:cs="Times New Roman"/>
          <w:sz w:val="24"/>
          <w:szCs w:val="24"/>
          <w:u w:val="single"/>
        </w:rPr>
        <w:t>SEGURO-GARANTIA</w:t>
      </w:r>
      <w:r>
        <w:rPr>
          <w:rFonts w:ascii="Cambria" w:hAnsi="Cambria" w:cs="Times New Roman"/>
          <w:sz w:val="24"/>
          <w:szCs w:val="24"/>
        </w:rPr>
        <w:t>: Apólice com certificação digital, que deverá ser emitida por companhia seguradora autorizada a funcionar no País, nos termos da legislação específica vigente à época de sua apresentação e deverá ter seu valor expresso em Reais (R$), bem como a assinatura dos administradores da sociedade emitente e Certidão de Regularidade Operacional expedida pela Superintendência de Seguros Privados – SUSEP, em nome da seguradora que emitir a apólice;</w:t>
      </w:r>
    </w:p>
    <w:p>
      <w:pPr>
        <w:pStyle w:val="Nivel4"/>
        <w:tabs>
          <w:tab w:val="clear" w:pos="360"/>
        </w:tabs>
        <w:spacing w:before="0" w:after="0" w:line="240" w:lineRule="auto"/>
        <w:ind w:left="0" w:firstLine="0"/>
        <w:rPr>
          <w:rFonts w:ascii="Cambria" w:hAnsi="Cambria" w:cs="Times New Roman"/>
          <w:sz w:val="24"/>
          <w:szCs w:val="24"/>
        </w:rPr>
      </w:pPr>
      <w:r>
        <w:rPr>
          <w:rFonts w:ascii="Cambria" w:hAnsi="Cambria" w:cs="Times New Roman"/>
          <w:b/>
          <w:bCs/>
          <w:sz w:val="24"/>
          <w:szCs w:val="24"/>
        </w:rPr>
        <w:t>d)</w:t>
      </w:r>
      <w:r>
        <w:rPr>
          <w:rFonts w:ascii="Cambria" w:hAnsi="Cambria" w:cs="Times New Roman"/>
          <w:sz w:val="24"/>
          <w:szCs w:val="24"/>
        </w:rPr>
        <w:t xml:space="preserve"> </w:t>
      </w:r>
      <w:r>
        <w:rPr>
          <w:rFonts w:ascii="Cambria" w:hAnsi="Cambria" w:cs="Times New Roman"/>
          <w:sz w:val="24"/>
          <w:szCs w:val="24"/>
          <w:u w:val="single"/>
        </w:rPr>
        <w:t>FIANÇA BANCÁRIA</w:t>
      </w:r>
      <w:r>
        <w:rPr>
          <w:rFonts w:ascii="Cambria" w:hAnsi="Cambria" w:cs="Times New Roman"/>
          <w:sz w:val="24"/>
          <w:szCs w:val="24"/>
        </w:rPr>
        <w:t>: Carta Bancária original, emitida por banco ou instituição financeira devidamente autorizada a operar no País pelo Banco Central do Brasil;</w:t>
      </w:r>
    </w:p>
    <w:p>
      <w:pPr>
        <w:pStyle w:val="Nivel4"/>
        <w:tabs>
          <w:tab w:val="clear" w:pos="360"/>
        </w:tabs>
        <w:spacing w:before="0" w:after="0" w:line="240" w:lineRule="auto"/>
        <w:ind w:left="0" w:firstLine="0"/>
        <w:rPr>
          <w:rFonts w:ascii="Cambria" w:hAnsi="Cambria" w:cs="Times New Roman"/>
          <w:sz w:val="24"/>
          <w:szCs w:val="24"/>
        </w:rPr>
      </w:pPr>
      <w:r>
        <w:rPr>
          <w:rFonts w:ascii="Cambria" w:hAnsi="Cambria" w:cs="Times New Roman"/>
          <w:b/>
          <w:bCs/>
          <w:sz w:val="24"/>
          <w:szCs w:val="24"/>
        </w:rPr>
        <w:t>e)</w:t>
      </w:r>
      <w:r>
        <w:rPr>
          <w:rFonts w:ascii="Cambria" w:hAnsi="Cambria" w:cs="Times New Roman"/>
          <w:sz w:val="24"/>
          <w:szCs w:val="24"/>
        </w:rPr>
        <w:t xml:space="preserve"> </w:t>
      </w:r>
      <w:r>
        <w:rPr>
          <w:rFonts w:ascii="Cambria" w:hAnsi="Cambria" w:cs="Times New Roman"/>
          <w:sz w:val="24"/>
          <w:szCs w:val="24"/>
          <w:u w:val="single"/>
        </w:rPr>
        <w:t>TÍTULO DE CAPITALIZAÇÃO</w:t>
      </w:r>
      <w:r>
        <w:rPr>
          <w:rFonts w:ascii="Cambria" w:hAnsi="Cambria" w:cs="Times New Roman"/>
          <w:sz w:val="24"/>
          <w:szCs w:val="24"/>
        </w:rPr>
        <w:t>: Deverá ser custeado por pagamento único, com resgate pelo valor total.</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A garantia da proposta deverá ser em favor dessa municipalidade, com prazo de validade não inferior a 150 (cento e cinquenta) dias, nos casos de seguro-garantia e fiança bancária.</w:t>
      </w:r>
    </w:p>
    <w:p>
      <w:pPr>
        <w:pStyle w:val="Nivel3"/>
        <w:numPr>
          <w:ilvl w:val="2"/>
          <w:numId w:val="33"/>
        </w:numPr>
        <w:spacing w:before="0" w:after="0" w:line="240" w:lineRule="auto"/>
        <w:ind w:left="0" w:firstLine="0"/>
        <w:rPr>
          <w:rFonts w:ascii="Cambria" w:hAnsi="Cambria" w:cs="Times New Roman"/>
          <w:sz w:val="24"/>
          <w:szCs w:val="24"/>
        </w:rPr>
      </w:pPr>
      <w:r>
        <w:rPr>
          <w:rFonts w:ascii="Cambria" w:hAnsi="Cambria" w:cs="Times New Roman"/>
          <w:sz w:val="24"/>
          <w:szCs w:val="24"/>
        </w:rPr>
        <w:t>A não apresentação da garantia no ato do cadastramento da proposta eletrônica, ensejará de imediato a desclassificação da licitante.</w:t>
      </w:r>
    </w:p>
    <w:p>
      <w:pPr>
        <w:tabs>
          <w:tab w:val="left" w:pos="567"/>
          <w:tab w:val="left" w:pos="2525"/>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DAS CONDIÇÕES E PRAZOS DE EXECUÇÃO</w:t>
      </w:r>
    </w:p>
    <w:p>
      <w:pPr>
        <w:tabs>
          <w:tab w:val="left" w:pos="426"/>
          <w:tab w:val="left" w:pos="2525"/>
          <w:tab w:val="center" w:pos="4873"/>
        </w:tabs>
        <w:suppressAutoHyphens/>
        <w:contextualSpacing/>
        <w:jc w:val="both"/>
        <w:rPr>
          <w:rFonts w:ascii="Cambria" w:hAnsi="Cambria"/>
          <w:b/>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Local de Execução dos serviços</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Cs/>
          <w:sz w:val="24"/>
          <w:szCs w:val="24"/>
          <w:lang w:eastAsia="zh-CN"/>
        </w:rPr>
        <w:t xml:space="preserve">Os serviços deverão ser executados em </w:t>
      </w:r>
      <w:r>
        <w:rPr>
          <w:rFonts w:ascii="Cambria" w:hAnsi="Cambria"/>
          <w:b/>
          <w:sz w:val="24"/>
          <w:szCs w:val="24"/>
          <w:lang w:eastAsia="zh-CN"/>
        </w:rPr>
        <w:t>12 (doze) meses</w:t>
      </w:r>
      <w:r>
        <w:rPr>
          <w:rFonts w:ascii="Cambria" w:hAnsi="Cambria"/>
          <w:bCs/>
          <w:sz w:val="24"/>
          <w:szCs w:val="24"/>
          <w:lang w:eastAsia="zh-CN"/>
        </w:rPr>
        <w:t xml:space="preserve">, a contar da emissão da </w:t>
      </w:r>
      <w:r>
        <w:rPr>
          <w:rFonts w:ascii="Cambria" w:hAnsi="Cambria"/>
          <w:b/>
          <w:sz w:val="24"/>
          <w:szCs w:val="24"/>
          <w:lang w:eastAsia="zh-CN"/>
        </w:rPr>
        <w:t xml:space="preserve">ORDEM DE SERVIÇOS </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sz w:val="24"/>
          <w:szCs w:val="24"/>
          <w:lang w:val="pt-PT" w:eastAsia="zh-CN"/>
        </w:rPr>
      </w:pPr>
      <w:r>
        <w:rPr>
          <w:rFonts w:ascii="Cambria" w:hAnsi="Cambria"/>
          <w:bCs/>
          <w:sz w:val="24"/>
          <w:szCs w:val="24"/>
          <w:lang w:eastAsia="zh-CN"/>
        </w:rPr>
        <w:t xml:space="preserve"> Os serviços deverão ser executados nos locais determinados pela CONTRATANTE, através da ordem de serviços</w:t>
      </w:r>
      <w:r>
        <w:rPr>
          <w:rFonts w:ascii="Cambria" w:hAnsi="Cambria"/>
          <w:sz w:val="24"/>
          <w:szCs w:val="24"/>
          <w:lang w:val="pt-PT" w:eastAsia="zh-CN"/>
        </w:rPr>
        <w:t>.</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sz w:val="24"/>
          <w:szCs w:val="24"/>
          <w:lang w:val="pt-PT" w:eastAsia="zh-CN"/>
        </w:rPr>
      </w:pPr>
      <w:r>
        <w:rPr>
          <w:rFonts w:ascii="Cambria" w:hAnsi="Cambria"/>
          <w:sz w:val="24"/>
          <w:szCs w:val="24"/>
          <w:lang w:eastAsia="zh-CN"/>
        </w:rPr>
        <w:t>Os serviços serão utilizados no regime de quilometragem livre.</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sz w:val="24"/>
          <w:szCs w:val="24"/>
          <w:lang w:val="pt-PT" w:eastAsia="zh-CN"/>
        </w:rPr>
      </w:pPr>
      <w:r>
        <w:rPr>
          <w:rFonts w:ascii="Cambria" w:hAnsi="Cambria"/>
          <w:sz w:val="24"/>
          <w:szCs w:val="24"/>
          <w:lang w:eastAsia="zh-CN"/>
        </w:rPr>
        <w:t xml:space="preserve">A contratada responsabilizar-se-á pelo socorro mecânico com guincho, bem como pela manutenção preventiva e corretiva, entendendo-se preventiva aquela constante no plano de manutenção do fabricante (descrita no manual do veículo) e corretiva aquela destinada ao reparo de defeitos que ocorram de maneira aleatória, </w:t>
      </w:r>
      <w:r>
        <w:rPr>
          <w:rFonts w:ascii="Cambria" w:hAnsi="Cambria"/>
          <w:sz w:val="24"/>
          <w:szCs w:val="24"/>
          <w:lang w:eastAsia="zh-CN"/>
        </w:rPr>
        <w:lastRenderedPageBreak/>
        <w:t>durante os intervalos entre as manutenções preventivas e quaisquer outras despesas que, direta ou indiretamente, incidam ou venham a incidir sobre a execução do Objeto deste Termo de Referência.</w:t>
      </w:r>
    </w:p>
    <w:p>
      <w:pPr>
        <w:numPr>
          <w:ilvl w:val="2"/>
          <w:numId w:val="33"/>
        </w:numPr>
        <w:tabs>
          <w:tab w:val="left" w:pos="567"/>
          <w:tab w:val="left" w:pos="993"/>
          <w:tab w:val="center" w:pos="4873"/>
        </w:tabs>
        <w:suppressAutoHyphens/>
        <w:spacing w:line="276" w:lineRule="auto"/>
        <w:ind w:left="0" w:firstLine="0"/>
        <w:contextualSpacing/>
        <w:jc w:val="both"/>
        <w:rPr>
          <w:rFonts w:ascii="Cambria" w:hAnsi="Cambria"/>
          <w:sz w:val="24"/>
          <w:szCs w:val="24"/>
          <w:lang w:val="pt-PT" w:eastAsia="zh-CN"/>
        </w:rPr>
      </w:pPr>
      <w:r>
        <w:rPr>
          <w:rFonts w:ascii="Cambria" w:hAnsi="Cambria"/>
          <w:sz w:val="24"/>
          <w:szCs w:val="24"/>
          <w:lang w:eastAsia="zh-CN"/>
        </w:rPr>
        <w:t>A contratada responsabilizar-se-á por realizar a imediata e tempestiva Manutenção Preventiva e Corretiva do veículo disponibilizado, mantendo o mesmo em perfeito estado para a prestação dos serviços contratados, observando o prazo de 24 (vinte e quatro) horas para manutenções e substituições de veículos, contadas a partir da comunicação formal feita pelo gestor do contrato, à contratada.</w:t>
      </w:r>
    </w:p>
    <w:p>
      <w:pPr>
        <w:numPr>
          <w:ilvl w:val="2"/>
          <w:numId w:val="33"/>
        </w:numPr>
        <w:tabs>
          <w:tab w:val="left" w:pos="567"/>
          <w:tab w:val="left" w:pos="709"/>
          <w:tab w:val="center" w:pos="4873"/>
        </w:tabs>
        <w:suppressAutoHyphens/>
        <w:spacing w:line="276" w:lineRule="auto"/>
        <w:ind w:left="0" w:firstLine="0"/>
        <w:contextualSpacing/>
        <w:jc w:val="both"/>
        <w:rPr>
          <w:rFonts w:ascii="Cambria" w:hAnsi="Cambria"/>
          <w:sz w:val="24"/>
          <w:szCs w:val="24"/>
          <w:lang w:val="pt-PT" w:eastAsia="zh-CN"/>
        </w:rPr>
      </w:pPr>
      <w:r>
        <w:rPr>
          <w:rFonts w:ascii="Cambria" w:hAnsi="Cambria"/>
          <w:sz w:val="24"/>
          <w:szCs w:val="24"/>
          <w:lang w:eastAsia="zh-CN"/>
        </w:rPr>
        <w:t>Os veículos permanecerão à disposição da contratante 24 (vinte quatro) horas por dia, mesmo não estando a serviço, durante os 7 (sete) dias da semana inclusive nos finais de semana.</w:t>
      </w:r>
    </w:p>
    <w:p>
      <w:pPr>
        <w:tabs>
          <w:tab w:val="left" w:pos="284"/>
          <w:tab w:val="left" w:pos="2525"/>
          <w:tab w:val="center" w:pos="4873"/>
        </w:tabs>
        <w:suppressAutoHyphens/>
        <w:rPr>
          <w:rFonts w:ascii="Cambria" w:hAnsi="Cambria"/>
          <w:b/>
          <w:sz w:val="24"/>
          <w:szCs w:val="24"/>
          <w:lang w:eastAsia="zh-CN"/>
        </w:rPr>
      </w:pP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Forma de execução, acompanhamento e fiscalização da execução</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Os serviços licitados poderão ser entregues de forma fracionada ou em sua totalidade, de acordo com a necessidade do órgão interessado durante o prazo de contratação, mediante a expedição de periódicas de </w:t>
      </w:r>
      <w:r>
        <w:rPr>
          <w:rFonts w:ascii="Cambria" w:hAnsi="Cambria"/>
          <w:b/>
          <w:sz w:val="24"/>
          <w:szCs w:val="24"/>
          <w:lang w:eastAsia="zh-CN"/>
        </w:rPr>
        <w:t>ORDEM DE SERVIÇOS</w:t>
      </w:r>
      <w:r>
        <w:rPr>
          <w:rFonts w:ascii="Cambria" w:hAnsi="Cambria"/>
          <w:bCs/>
          <w:sz w:val="24"/>
          <w:szCs w:val="24"/>
          <w:lang w:eastAsia="zh-CN"/>
        </w:rPr>
        <w:t>, pelo órgão demandante, constando a relação e a quantidade de itens a serem executados.</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execução dos serviços será acompanhada e fiscalizada por servidor do órgão demandante, o qual deverá atestar os documentos da despesa, quando comprovada a fiel e correta entrega para fins de pagamento.</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presença da fiscalização do órgão demandante não elide nem diminui a responsabilidade da empresa contratada.</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Caberá ao servidor designado rejeitar totalmente ou em parte, qualquer bem que não esteja de acordo com as exigências, bem como, determinar prazo para substituição do item eventualmente fora de especificação.</w:t>
      </w:r>
    </w:p>
    <w:p>
      <w:pPr>
        <w:tabs>
          <w:tab w:val="left" w:pos="567"/>
          <w:tab w:val="left" w:pos="851"/>
          <w:tab w:val="center" w:pos="4873"/>
        </w:tabs>
        <w:suppressAutoHyphens/>
        <w:spacing w:line="276" w:lineRule="auto"/>
        <w:contextualSpacing/>
        <w:jc w:val="both"/>
        <w:rPr>
          <w:rFonts w:ascii="Cambria" w:hAnsi="Cambria"/>
          <w:bCs/>
          <w:sz w:val="24"/>
          <w:szCs w:val="24"/>
          <w:lang w:eastAsia="zh-CN"/>
        </w:rPr>
      </w:pPr>
    </w:p>
    <w:p>
      <w:pPr>
        <w:numPr>
          <w:ilvl w:val="1"/>
          <w:numId w:val="33"/>
        </w:numPr>
        <w:tabs>
          <w:tab w:val="left" w:pos="426"/>
          <w:tab w:val="left" w:pos="851"/>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Prazo para início da execução</w:t>
      </w:r>
    </w:p>
    <w:p>
      <w:pPr>
        <w:numPr>
          <w:ilvl w:val="2"/>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Os serviços deverão ser iniciados em até </w:t>
      </w:r>
      <w:r>
        <w:rPr>
          <w:rFonts w:ascii="Cambria" w:hAnsi="Cambria"/>
          <w:b/>
          <w:sz w:val="24"/>
          <w:szCs w:val="24"/>
          <w:lang w:eastAsia="zh-CN"/>
        </w:rPr>
        <w:t>05 (CINCO) DIAS CORRIDOS</w:t>
      </w:r>
      <w:r>
        <w:rPr>
          <w:rFonts w:ascii="Cambria" w:hAnsi="Cambria"/>
          <w:bCs/>
          <w:sz w:val="24"/>
          <w:szCs w:val="24"/>
          <w:lang w:eastAsia="zh-CN"/>
        </w:rPr>
        <w:t xml:space="preserve">, a contar da emissão da </w:t>
      </w:r>
      <w:r>
        <w:rPr>
          <w:rFonts w:ascii="Cambria" w:hAnsi="Cambria"/>
          <w:b/>
          <w:sz w:val="24"/>
          <w:szCs w:val="24"/>
          <w:lang w:eastAsia="zh-CN"/>
        </w:rPr>
        <w:t>Ordem de Serviço,</w:t>
      </w:r>
      <w:r>
        <w:rPr>
          <w:rFonts w:ascii="Cambria" w:hAnsi="Cambria"/>
          <w:bCs/>
          <w:sz w:val="24"/>
          <w:szCs w:val="24"/>
          <w:lang w:eastAsia="zh-CN"/>
        </w:rPr>
        <w:t xml:space="preserve"> </w:t>
      </w:r>
      <w:r>
        <w:rPr>
          <w:rFonts w:ascii="Cambria" w:hAnsi="Cambria"/>
          <w:b/>
          <w:sz w:val="24"/>
          <w:szCs w:val="24"/>
          <w:u w:val="single"/>
          <w:lang w:eastAsia="zh-CN"/>
        </w:rPr>
        <w:t>que será enviada à contratada através de e-mail</w:t>
      </w:r>
      <w:r>
        <w:rPr>
          <w:rFonts w:ascii="Cambria" w:hAnsi="Cambria"/>
          <w:bCs/>
          <w:sz w:val="24"/>
          <w:szCs w:val="24"/>
          <w:lang w:eastAsia="zh-CN"/>
        </w:rPr>
        <w:t xml:space="preserve"> ou outro meio que comprove o seu recebimento.</w:t>
      </w:r>
    </w:p>
    <w:p>
      <w:pPr>
        <w:numPr>
          <w:ilvl w:val="2"/>
          <w:numId w:val="33"/>
        </w:numPr>
        <w:tabs>
          <w:tab w:val="left" w:pos="567"/>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 demanda correspondente a </w:t>
      </w:r>
      <w:r>
        <w:rPr>
          <w:rFonts w:ascii="Cambria" w:hAnsi="Cambria"/>
          <w:b/>
          <w:sz w:val="24"/>
          <w:szCs w:val="24"/>
          <w:lang w:eastAsia="zh-CN"/>
        </w:rPr>
        <w:t xml:space="preserve">ORDEM DE SERVIÇOS </w:t>
      </w:r>
      <w:r>
        <w:rPr>
          <w:rFonts w:ascii="Cambria" w:hAnsi="Cambria"/>
          <w:bCs/>
          <w:sz w:val="24"/>
          <w:szCs w:val="24"/>
          <w:lang w:eastAsia="zh-CN"/>
        </w:rPr>
        <w:t xml:space="preserve">deverá ser entregue em remessa única. </w:t>
      </w:r>
    </w:p>
    <w:p>
      <w:pPr>
        <w:tabs>
          <w:tab w:val="left" w:pos="567"/>
          <w:tab w:val="left" w:pos="2525"/>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 FORMA DE PAGAMENTO</w:t>
      </w:r>
    </w:p>
    <w:p>
      <w:pPr>
        <w:numPr>
          <w:ilvl w:val="1"/>
          <w:numId w:val="33"/>
        </w:numPr>
        <w:tabs>
          <w:tab w:val="left" w:pos="426"/>
          <w:tab w:val="left" w:pos="2525"/>
          <w:tab w:val="center" w:pos="4873"/>
        </w:tabs>
        <w:suppressAutoHyphens/>
        <w:spacing w:line="276" w:lineRule="auto"/>
        <w:ind w:left="-142" w:firstLine="142"/>
        <w:contextualSpacing/>
        <w:jc w:val="both"/>
        <w:rPr>
          <w:rFonts w:ascii="Cambria" w:hAnsi="Cambria"/>
          <w:b/>
          <w:sz w:val="24"/>
          <w:szCs w:val="24"/>
          <w:lang w:eastAsia="zh-CN"/>
        </w:rPr>
      </w:pPr>
      <w:r>
        <w:rPr>
          <w:rFonts w:ascii="Cambria" w:hAnsi="Cambria"/>
          <w:b/>
          <w:sz w:val="24"/>
          <w:szCs w:val="24"/>
          <w:lang w:eastAsia="zh-CN"/>
        </w:rPr>
        <w:t>Forma de pagamento</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Pagamento será efetuado na proporção da execução dos serviços, em até </w:t>
      </w:r>
      <w:r>
        <w:rPr>
          <w:rFonts w:ascii="Cambria" w:hAnsi="Cambria"/>
          <w:b/>
          <w:sz w:val="24"/>
          <w:szCs w:val="24"/>
          <w:lang w:eastAsia="zh-CN"/>
        </w:rPr>
        <w:t xml:space="preserve">30 (trinta) dias </w:t>
      </w:r>
      <w:r>
        <w:rPr>
          <w:rFonts w:ascii="Cambria" w:hAnsi="Cambria"/>
          <w:bCs/>
          <w:sz w:val="24"/>
          <w:szCs w:val="24"/>
          <w:lang w:eastAsia="zh-CN"/>
        </w:rPr>
        <w:t>após a emissão da nota fiscal ou instrumento de cobrança equivalente, mediante a constatação da entrega definitiva, através de atesto do recebimento dos serviços e o encaminhamento da documentação necessária, observada todas as disposições pactuadas, bem como, a ordem cronológica de pagamentos.</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Para fins de instrução dos procedimentos de pagamento, além dos documentos citados no subitem anterior, o fornecedor deverá enviar obrigatoriamente a comprovação da regularidade fiscal e trabalhista, constante da seguinte documentação:</w:t>
      </w:r>
    </w:p>
    <w:p>
      <w:pPr>
        <w:numPr>
          <w:ilvl w:val="0"/>
          <w:numId w:val="32"/>
        </w:numPr>
        <w:tabs>
          <w:tab w:val="left" w:pos="567"/>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Nota Fiscal/fatura discriminativa, em via única, devidamente atestada pelo gestor do contrato;</w:t>
      </w:r>
    </w:p>
    <w:p>
      <w:pPr>
        <w:numPr>
          <w:ilvl w:val="0"/>
          <w:numId w:val="32"/>
        </w:numPr>
        <w:tabs>
          <w:tab w:val="left" w:pos="567"/>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Prova de Regularidade relativa aos Tributos Federais e à Dívida Ativa da União, inclusive em relação as contribuições sociais;</w:t>
      </w:r>
    </w:p>
    <w:p>
      <w:pPr>
        <w:numPr>
          <w:ilvl w:val="0"/>
          <w:numId w:val="32"/>
        </w:numPr>
        <w:tabs>
          <w:tab w:val="left" w:pos="567"/>
          <w:tab w:val="left" w:pos="1134"/>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Prova de Regularidade relativa a Fazenda Estadual;</w:t>
      </w:r>
    </w:p>
    <w:p>
      <w:pPr>
        <w:numPr>
          <w:ilvl w:val="0"/>
          <w:numId w:val="32"/>
        </w:numPr>
        <w:tabs>
          <w:tab w:val="left" w:pos="567"/>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Prova de Regularidade relativa a Fazenda Municipal;</w:t>
      </w:r>
    </w:p>
    <w:p>
      <w:pPr>
        <w:numPr>
          <w:ilvl w:val="0"/>
          <w:numId w:val="32"/>
        </w:numPr>
        <w:tabs>
          <w:tab w:val="left" w:pos="567"/>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Prova de Regularidade relativa ao FGTS;</w:t>
      </w:r>
    </w:p>
    <w:p>
      <w:pPr>
        <w:numPr>
          <w:ilvl w:val="0"/>
          <w:numId w:val="32"/>
        </w:numPr>
        <w:tabs>
          <w:tab w:val="left" w:pos="567"/>
          <w:tab w:val="left" w:pos="1418"/>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Prova de Regularidade relativa à Justiça do trabalho (Certidão Negativa de Débitos Trabalhistas - CNDT).</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   </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 Administração deverá realizar consulta ao SICAF para: </w:t>
      </w:r>
    </w:p>
    <w:p>
      <w:pPr>
        <w:numPr>
          <w:ilvl w:val="3"/>
          <w:numId w:val="33"/>
        </w:numPr>
        <w:tabs>
          <w:tab w:val="left" w:pos="426"/>
          <w:tab w:val="left" w:pos="851"/>
          <w:tab w:val="left" w:pos="993"/>
        </w:tabs>
        <w:suppressAutoHyphens/>
        <w:spacing w:line="276" w:lineRule="auto"/>
        <w:ind w:left="0" w:hanging="10"/>
        <w:contextualSpacing/>
        <w:jc w:val="both"/>
        <w:rPr>
          <w:rFonts w:ascii="Cambria" w:hAnsi="Cambria"/>
          <w:bCs/>
          <w:sz w:val="24"/>
          <w:szCs w:val="24"/>
          <w:lang w:eastAsia="zh-CN"/>
        </w:rPr>
      </w:pPr>
      <w:r>
        <w:rPr>
          <w:rFonts w:ascii="Cambria" w:hAnsi="Cambria"/>
          <w:bCs/>
          <w:sz w:val="24"/>
          <w:szCs w:val="24"/>
          <w:lang w:eastAsia="zh-CN"/>
        </w:rPr>
        <w:t xml:space="preserve">verificar a manutenção das condições de habilitação exigidas no edital; </w:t>
      </w:r>
    </w:p>
    <w:p>
      <w:pPr>
        <w:numPr>
          <w:ilvl w:val="3"/>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identificar possível razão que impeça a participação em licitação, no âmbito do órgão ou entidade, que implique proibição de contratar com o Poder Público, bem como ocorrências impeditivas indiretas.</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Persistindo a irregularidade, o contratante deverá adotar as medidas necessárias à rescisão contratual nos autos do processo administrativo correspondente, assegurada ao contratado a ampla defesa. </w:t>
      </w:r>
    </w:p>
    <w:p>
      <w:pPr>
        <w:numPr>
          <w:ilvl w:val="2"/>
          <w:numId w:val="33"/>
        </w:numPr>
        <w:tabs>
          <w:tab w:val="left" w:pos="567"/>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Havendo a efetiva execução do objeto, os pagamentos serão realizados normalmente, até que se decida pela rescisão do contrato, caso o contratado não regularize sua situação junto ao SICAF.  </w:t>
      </w: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Será considerada data do pagamento o dia em que constar como emitida a ordem bancária para pagamento.</w:t>
      </w: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Quando do pagamento, será efetuada a retenção tributária prevista na legislação aplicável.</w:t>
      </w: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Independentemente do percentual de tributo inserido na planilha, quando houver, serão retidos na fonte, quando da realização do pagamento, os percentuais estabelecidos na legislação vigente.</w:t>
      </w: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contratado regularmente optante pelo Simples Nacional, nos termos da </w:t>
      </w:r>
      <w:hyperlink r:id="rId45" w:history="1">
        <w:r>
          <w:rPr>
            <w:rFonts w:ascii="Cambria" w:hAnsi="Cambria"/>
            <w:bCs/>
            <w:sz w:val="24"/>
            <w:szCs w:val="24"/>
            <w:lang w:eastAsia="zh-CN"/>
          </w:rPr>
          <w:t>Lei Complementar nº 123, de 2006</w:t>
        </w:r>
      </w:hyperlink>
      <w:r>
        <w:rPr>
          <w:rFonts w:ascii="Cambria" w:hAnsi="Cambria"/>
          <w:bCs/>
          <w:sz w:val="24"/>
          <w:szCs w:val="24"/>
          <w:lang w:eastAsia="zh-CN"/>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tabs>
          <w:tab w:val="left" w:pos="567"/>
          <w:tab w:val="left" w:pos="2525"/>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DO PRAZO DE VIGÊNCIA</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contrato produzirá seus jurídicos e legais efeitos a partir da data de sua assinatura e vigorará 12 (doze) meses, prorrogável por até 10 anos, na forma dos artigos 106 e 107 da Lei n° 14.133, de 2021.</w:t>
      </w:r>
    </w:p>
    <w:p>
      <w:pPr>
        <w:numPr>
          <w:ilvl w:val="2"/>
          <w:numId w:val="33"/>
        </w:numPr>
        <w:tabs>
          <w:tab w:val="left" w:pos="567"/>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execução dos serviços descritos é enquadrada como de natureza continuada conforme disposto no Estudo Técnico Preliminar, sendo a vigência plurianual mais vantajosa considerando a necessidade de manutenção dos fornecimentos de forma contínua, no entanto, considerando que a estimativa prevista para a licitação é de um ano, o contrato terá vigência inicial de 12 meses, conforme disposto no item 7.1 do edital.</w:t>
      </w:r>
    </w:p>
    <w:p>
      <w:pPr>
        <w:tabs>
          <w:tab w:val="left" w:pos="567"/>
          <w:tab w:val="left" w:pos="709"/>
          <w:tab w:val="left" w:pos="2525"/>
          <w:tab w:val="center" w:pos="4873"/>
        </w:tabs>
        <w:suppressAutoHyphens/>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REQUISITOS ESPECÍFICOS DO PROCEDIMENTO</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 forma de apresentação das propostas</w:t>
      </w:r>
    </w:p>
    <w:p>
      <w:pPr>
        <w:numPr>
          <w:ilvl w:val="2"/>
          <w:numId w:val="33"/>
        </w:numPr>
        <w:tabs>
          <w:tab w:val="left" w:pos="567"/>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Na proposta de preços deverá constar as especificações detalhadas do item, quantidade solicitada, o valor unitário e total, já considerando todas as despesas, tributos, impostos, taxas, encargos e demais despesas que incidam direta ou indiretamente sobre os produtos, mesmo que não estejam registrados neste documento.</w:t>
      </w:r>
    </w:p>
    <w:p>
      <w:pPr>
        <w:numPr>
          <w:ilvl w:val="2"/>
          <w:numId w:val="33"/>
        </w:numPr>
        <w:tabs>
          <w:tab w:val="left" w:pos="567"/>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licitante deverá garantir a execução dos serviços sem qualquer defeito de fabricação, e se caso constatado alguma imperfeição, terão os itens devolvidos e a licitante submetida às penalidades da Lei, além do registro da falha no Cadastro de Fornecedores Municipais.</w:t>
      </w:r>
    </w:p>
    <w:p>
      <w:pPr>
        <w:numPr>
          <w:ilvl w:val="2"/>
          <w:numId w:val="33"/>
        </w:numPr>
        <w:tabs>
          <w:tab w:val="left" w:pos="567"/>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Será considerada vencedora a licitante cuja proposta contenha o </w:t>
      </w:r>
      <w:r>
        <w:rPr>
          <w:rFonts w:ascii="Cambria" w:hAnsi="Cambria"/>
          <w:b/>
          <w:sz w:val="24"/>
          <w:szCs w:val="24"/>
          <w:lang w:eastAsia="zh-CN"/>
        </w:rPr>
        <w:t>MENOR PREÇO POR GRUPO</w:t>
      </w:r>
      <w:r>
        <w:rPr>
          <w:rFonts w:ascii="Cambria" w:hAnsi="Cambria"/>
          <w:bCs/>
          <w:sz w:val="24"/>
          <w:szCs w:val="24"/>
          <w:lang w:eastAsia="zh-CN"/>
        </w:rPr>
        <w:t>, desde que atenda as exigências contidas neste Termo de Referência.</w:t>
      </w:r>
    </w:p>
    <w:p>
      <w:pPr>
        <w:tabs>
          <w:tab w:val="left" w:pos="567"/>
          <w:tab w:val="left" w:pos="709"/>
          <w:tab w:val="left" w:pos="2525"/>
          <w:tab w:val="center" w:pos="4873"/>
        </w:tabs>
        <w:suppressAutoHyphens/>
        <w:spacing w:line="276" w:lineRule="auto"/>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MODELO DE GESTÃO DO CONTRATO</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contrato deverá ser executado fielmente pelas partes, de acordo com as cláusulas avençadas e as normas da Lei nº 14.133, de 2021, e cada parte responderá pelas consequências de sua inexecução total ou parcial.</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Em caso de impedimento, ordem de paralisação ou suspensão do contrato, o cronograma de fornecimento será prorrogado automaticamente pelo tempo correspondente, anotadas tais circunstâncias mediante simples apostila.</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As comunicações entre o órgão ou entidade e a contratada devem ser realizadas por escrito sempre que o ato exigir tal formalidade, admitindo-se o uso de mensagem eletrônica para esse fim.</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órgão ou entidade poderá convocar representante da empresa para adoção de providências que devam ser cumpridas de imediato.</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execução do contrato deverá ser acompanhada e fiscalizada pelo(s) fiscal(is) do contrato, ou pelos respectivos substitutos (</w:t>
      </w:r>
      <w:hyperlink r:id="rId46" w:anchor="art117" w:history="1">
        <w:r>
          <w:rPr>
            <w:rFonts w:ascii="Cambria" w:hAnsi="Cambria"/>
            <w:bCs/>
            <w:sz w:val="24"/>
            <w:szCs w:val="24"/>
            <w:lang w:eastAsia="zh-CN"/>
          </w:rPr>
          <w:t>Lei nº 14.133, de 2021, art. 117, caput</w:t>
        </w:r>
      </w:hyperlink>
      <w:r>
        <w:rPr>
          <w:rFonts w:ascii="Cambria" w:hAnsi="Cambria"/>
          <w:bCs/>
          <w:sz w:val="24"/>
          <w:szCs w:val="24"/>
          <w:lang w:eastAsia="zh-CN"/>
        </w:rPr>
        <w:t>).</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do contrato acompanhará a execução do contrato, para que sejam cumpridas todas as condições estabelecidas no contrato, de modo a assegurar os melhores resultados para a Administração.</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do contrato anotará no histórico de gerenciamento do contrato todas as ocorrências relacionadas à execução do contrato, com a descrição do que for necessário para a regularização das faltas ou dos defeitos observados. (</w:t>
      </w:r>
      <w:hyperlink r:id="rId47" w:anchor="art117§1" w:history="1">
        <w:r>
          <w:rPr>
            <w:rFonts w:ascii="Cambria" w:hAnsi="Cambria"/>
            <w:bCs/>
            <w:sz w:val="24"/>
            <w:szCs w:val="24"/>
            <w:lang w:eastAsia="zh-CN"/>
          </w:rPr>
          <w:t>Lei nº 14.133, de 2021, art. 117, §1º</w:t>
        </w:r>
      </w:hyperlink>
      <w:r>
        <w:rPr>
          <w:rFonts w:ascii="Cambria" w:hAnsi="Cambria"/>
          <w:bCs/>
          <w:sz w:val="24"/>
          <w:szCs w:val="24"/>
          <w:lang w:eastAsia="zh-CN"/>
        </w:rPr>
        <w:t>).</w:t>
      </w:r>
    </w:p>
    <w:p>
      <w:pPr>
        <w:numPr>
          <w:ilvl w:val="1"/>
          <w:numId w:val="33"/>
        </w:numPr>
        <w:tabs>
          <w:tab w:val="left" w:pos="42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Identificada qualquer inexatidão ou irregularidade, o fiscal do contrato emitirá notificações para a correção da execução do contrato, determinando prazo para a correção. </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do contrato informará ao gestor do contato, em tempo hábil, a situação que demandar decisão ou adoção de medidas que ultrapassem sua competência, para que adote as medidas necessárias e saneadoras, se for o caso.</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No caso de ocorrências que possam inviabilizar a execução do contrato nas datas aprazadas, o fiscal do contrato comunicará o fato imediatamente ao gestor do contrato. </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do contrato comunicar ao gestor do contrato, em tempo hábil, o término do contrato sob sua responsabilidade, com vistas à renovação tempestiva ou à prorrogação contratual.</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numPr>
          <w:ilvl w:val="1"/>
          <w:numId w:val="33"/>
        </w:numPr>
        <w:tabs>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Caso ocorram descumprimento das obrigações contratuais, o fiscal administrativo do contrato atuará tempestivamente na solução do problema, reportando ao gestor do contrato para que tome as providências cabíveis, quando ultrapassar a sua competência.</w:t>
      </w:r>
    </w:p>
    <w:p>
      <w:pPr>
        <w:numPr>
          <w:ilvl w:val="1"/>
          <w:numId w:val="33"/>
        </w:numPr>
        <w:tabs>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gestor do contrato coordenará a atualização do processo de acompanhamento e fiscalização do contrato contendo todos os registros formais da execução no histórico de </w:t>
      </w:r>
      <w:r>
        <w:rPr>
          <w:rFonts w:ascii="Cambria" w:hAnsi="Cambria"/>
          <w:bCs/>
          <w:sz w:val="24"/>
          <w:szCs w:val="24"/>
          <w:lang w:eastAsia="zh-CN"/>
        </w:rPr>
        <w:lastRenderedPageBreak/>
        <w:t>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fiscal administrativo do contrato comunicará ao gestor do contrato, em tempo hábil, o término do contrato sob sua responsabilidade, com vistas à tempestiva renovação ou prorrogação contratual.</w:t>
      </w:r>
    </w:p>
    <w:p>
      <w:pPr>
        <w:numPr>
          <w:ilvl w:val="1"/>
          <w:numId w:val="33"/>
        </w:numPr>
        <w:tabs>
          <w:tab w:val="left" w:pos="567"/>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gestor do contrato deverá elaborar relatório final com informações sobre a consecução dos objetivos que tenham justificado a contratação e eventuais condutas a serem adotadas para o aprimoramento das atividades da Administração.</w:t>
      </w:r>
    </w:p>
    <w:p>
      <w:pPr>
        <w:tabs>
          <w:tab w:val="left" w:pos="567"/>
          <w:tab w:val="left" w:pos="851"/>
          <w:tab w:val="left" w:pos="2525"/>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284"/>
          <w:tab w:val="center" w:pos="426"/>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DAS OBRIGAÇÕES E RESPONSABILIDADES:</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As partes se obrigam reciprocamente a cumprir integralmente as disposições do instrumento convocatório da Lei Nº. 14.133.</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 xml:space="preserve">São obrigações do </w:t>
      </w:r>
      <w:r>
        <w:rPr>
          <w:rFonts w:ascii="Cambria" w:hAnsi="Cambria"/>
          <w:b/>
          <w:sz w:val="24"/>
          <w:szCs w:val="24"/>
          <w:u w:val="single"/>
          <w:lang w:eastAsia="zh-CN"/>
        </w:rPr>
        <w:t>contratante</w:t>
      </w:r>
      <w:r>
        <w:rPr>
          <w:rFonts w:ascii="Cambria" w:hAnsi="Cambria"/>
          <w:b/>
          <w:sz w:val="24"/>
          <w:szCs w:val="24"/>
          <w:lang w:eastAsia="zh-CN"/>
        </w:rPr>
        <w:t xml:space="preserve">, nos termos do </w:t>
      </w:r>
      <w:hyperlink r:id="rId48" w:anchor="art92" w:history="1">
        <w:r>
          <w:rPr>
            <w:rFonts w:ascii="Cambria" w:hAnsi="Cambria"/>
            <w:b/>
            <w:sz w:val="24"/>
            <w:szCs w:val="24"/>
            <w:lang w:eastAsia="zh-CN"/>
          </w:rPr>
          <w:t>art. 92, X, XI e XIV</w:t>
        </w:r>
      </w:hyperlink>
      <w:r>
        <w:rPr>
          <w:rFonts w:ascii="Cambria" w:hAnsi="Cambria"/>
          <w:b/>
          <w:sz w:val="24"/>
          <w:szCs w:val="24"/>
          <w:lang w:eastAsia="zh-CN"/>
        </w:rPr>
        <w:t xml:space="preserve"> da Lei Federal n.º 14.133/21:</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Exigir o cumprimento de todas as obrigações assumidas pelo Contratado, de acordo com o contrato e seus anexos.</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Executar os serviços nas condições estabelecidas no Termo de Referência.</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Notificar o Contratado, por escrito, sobre vícios, defeitos ou incorreções verificadas no objeto fornecido, para que seja por ele substituído, reparado ou corrigido, no total ou em parte, às suas expensas.</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Acompanhar e fiscalizar a execução do contrato e o cumprimento das obrigações pelo Contratado.</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Comunicar a empresa para emissão de Nota Fiscal no que pertine à parcela incontroversa da execução do objeto, para efeito de liquidação e pagamento, quando houver controvérsia sobre a execução do objeto, quanto à dimensão, qualidade e quantidade, conforme o </w:t>
      </w:r>
      <w:hyperlink r:id="rId49" w:anchor="art143" w:history="1">
        <w:r>
          <w:rPr>
            <w:rFonts w:ascii="Cambria" w:hAnsi="Cambria"/>
            <w:bCs/>
            <w:sz w:val="24"/>
            <w:szCs w:val="24"/>
            <w:lang w:eastAsia="zh-CN"/>
          </w:rPr>
          <w:t>art. 143 da Lei nº 14.133, de 2021</w:t>
        </w:r>
      </w:hyperlink>
      <w:r>
        <w:rPr>
          <w:rFonts w:ascii="Cambria" w:hAnsi="Cambria"/>
          <w:bCs/>
          <w:sz w:val="24"/>
          <w:szCs w:val="24"/>
          <w:lang w:eastAsia="zh-CN"/>
        </w:rPr>
        <w:t>.</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Efetuar o pagamento ao Contratado do valor correspondente ao fornecimento do objeto, no prazo, forma e condições estabelecidos no presente Contrato.</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Aplicar ao Contratado as sanções previstas na lei e neste Contrato.</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Cientificar o órgão de representação judicial do Município para adoção das medidas cabíveis quando do descumprimento de obrigações pelo Contratado.</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 A Administração terá o prazo de 01 (um) mês, nos termos do art. 123, parágrafo único, da Lei n.º 14.133, de 2021, a contar da data do protocolo do requerimento para decidir, admitida a prorrogação motivada, por igual período. </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Responder eventuais pedidos de reestabelecimento do equilíbrio econômico-financeiro feitos pelo contratado no prazo máximo de 01 (um) mês, nos termos do art. 123, parágrafo único, da Lei n.º 14.133, de 2021.</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Notificar os emitentes das garantias quanto ao início de processo administrativo para apuração de descumprimento de cláusulas contratuais.</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sz w:val="24"/>
          <w:szCs w:val="24"/>
          <w:lang w:eastAsia="zh-CN"/>
        </w:rPr>
        <w:t>Indicar o local e horário em que deverão ser entregues os produtos/materiais/equipamentos.</w:t>
      </w:r>
    </w:p>
    <w:p>
      <w:pPr>
        <w:numPr>
          <w:ilvl w:val="2"/>
          <w:numId w:val="33"/>
        </w:numPr>
        <w:tabs>
          <w:tab w:val="left" w:pos="567"/>
          <w:tab w:val="left" w:pos="709"/>
          <w:tab w:val="left" w:pos="851"/>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sz w:val="24"/>
          <w:szCs w:val="24"/>
          <w:lang w:eastAsia="zh-CN"/>
        </w:rPr>
        <w:t>Permitir ao pessoal da CONTRATADA acesso ao local da entrega desde que observadas as normas de segurança.</w:t>
      </w:r>
    </w:p>
    <w:p>
      <w:pPr>
        <w:tabs>
          <w:tab w:val="left" w:pos="567"/>
          <w:tab w:val="left" w:pos="709"/>
          <w:tab w:val="left" w:pos="851"/>
          <w:tab w:val="left" w:pos="2525"/>
          <w:tab w:val="center" w:pos="4873"/>
        </w:tabs>
        <w:suppressAutoHyphens/>
        <w:contextualSpacing/>
        <w:jc w:val="both"/>
        <w:rPr>
          <w:rFonts w:ascii="Cambria" w:hAnsi="Cambria"/>
          <w:bCs/>
          <w:sz w:val="24"/>
          <w:szCs w:val="24"/>
          <w:lang w:eastAsia="zh-CN"/>
        </w:rPr>
      </w:pP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 xml:space="preserve">São obrigações do </w:t>
      </w:r>
      <w:r>
        <w:rPr>
          <w:rFonts w:ascii="Cambria" w:hAnsi="Cambria"/>
          <w:b/>
          <w:sz w:val="24"/>
          <w:szCs w:val="24"/>
          <w:u w:val="single"/>
          <w:lang w:eastAsia="zh-CN"/>
        </w:rPr>
        <w:t>contratado</w:t>
      </w:r>
      <w:r>
        <w:rPr>
          <w:rFonts w:ascii="Cambria" w:hAnsi="Cambria"/>
          <w:b/>
          <w:sz w:val="24"/>
          <w:szCs w:val="24"/>
          <w:lang w:eastAsia="zh-CN"/>
        </w:rPr>
        <w:t xml:space="preserve">, nos termos do </w:t>
      </w:r>
      <w:hyperlink r:id="rId50" w:anchor="art92" w:history="1">
        <w:r>
          <w:rPr>
            <w:rFonts w:ascii="Cambria" w:hAnsi="Cambria"/>
            <w:b/>
            <w:sz w:val="24"/>
            <w:szCs w:val="24"/>
            <w:lang w:eastAsia="zh-CN"/>
          </w:rPr>
          <w:t>art. 92, XIV, XVI e XVII</w:t>
        </w:r>
      </w:hyperlink>
      <w:r>
        <w:rPr>
          <w:rFonts w:ascii="Cambria" w:hAnsi="Cambria"/>
          <w:b/>
          <w:sz w:val="24"/>
          <w:szCs w:val="24"/>
          <w:lang w:eastAsia="zh-CN"/>
        </w:rPr>
        <w:t xml:space="preserve"> da Lei Federal n.º 14.133/21:</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Contratado deve cumprir todas as obrigações constantes do Contrato e em seus anexos, assumindo como exclusivamente seus os riscos e as despesas decorrentes da boa e perfeita execução do objeto, observando, ainda, as obrigações a seguir dispostas:</w:t>
      </w:r>
    </w:p>
    <w:p>
      <w:pPr>
        <w:numPr>
          <w:ilvl w:val="0"/>
          <w:numId w:val="31"/>
        </w:num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Comunicar ao contratante, no prazo máximo de 24 (vinte e quatro) horas que antecede a data da execução dos serviços, os motivos que impossibilitem o cumprimento do prazo previsto, com a devida comprovação.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lastRenderedPageBreak/>
        <w:t>Atender às determinações regulares emitidas pelo fiscal ou gestor do contrato ou autoridade superior (</w:t>
      </w:r>
      <w:hyperlink r:id="rId51" w:anchor="art137" w:history="1">
        <w:r>
          <w:rPr>
            <w:rFonts w:ascii="Cambria" w:hAnsi="Cambria"/>
            <w:sz w:val="24"/>
            <w:szCs w:val="24"/>
            <w:lang w:eastAsia="zh-CN"/>
          </w:rPr>
          <w:t>art. 137, II, da Lei n.º 14.133, de 2021</w:t>
        </w:r>
      </w:hyperlink>
      <w:r>
        <w:rPr>
          <w:rFonts w:ascii="Cambria" w:hAnsi="Cambria"/>
          <w:sz w:val="24"/>
          <w:szCs w:val="24"/>
          <w:lang w:eastAsia="zh-CN"/>
        </w:rPr>
        <w:t>) e prestar todo esclarecimento ou informação por eles solicitados.</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Comunicar ao Fiscal do contrato, no prazo de 24 (vinte e quatro) horas, qualquer ocorrência anormal ou acidente que se verifique no local da execução do objeto contratual.</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Paralisar, por determinação do contratante, qualquer atividade que não esteja sendo executada de acordo com a boa técnica ou que ponha em risco a segurança de pessoas ou bens de terceiros.</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Manter durante toda a vigência do contrato, em compatibilidade com as obrigações assumidas, todas as condições exigidas para habilitação na licitação.</w:t>
      </w:r>
    </w:p>
    <w:p>
      <w:pPr>
        <w:numPr>
          <w:ilvl w:val="0"/>
          <w:numId w:val="31"/>
        </w:numPr>
        <w:tabs>
          <w:tab w:val="left" w:pos="284"/>
          <w:tab w:val="left" w:pos="426"/>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Cumprir, durante todo o período de execução do contrato, a reserva de cargos prevista em lei para pessoa com deficiência, para reabilitado da Previdência Social ou para aprendiz, bem como as reservas de cargos previstas na legislação (</w:t>
      </w:r>
      <w:hyperlink r:id="rId52" w:anchor="art116" w:history="1">
        <w:r>
          <w:rPr>
            <w:rFonts w:ascii="Cambria" w:hAnsi="Cambria"/>
            <w:sz w:val="24"/>
            <w:szCs w:val="24"/>
            <w:lang w:eastAsia="zh-CN"/>
          </w:rPr>
          <w:t>art. 116, da Lei n.º 14.133, de 2021</w:t>
        </w:r>
      </w:hyperlink>
      <w:r>
        <w:rPr>
          <w:rFonts w:ascii="Cambria" w:hAnsi="Cambria"/>
          <w:sz w:val="24"/>
          <w:szCs w:val="24"/>
          <w:lang w:eastAsia="zh-CN"/>
        </w:rPr>
        <w:t>).</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Comprovar a reserva de cargos a que se refere a cláusula acima, no prazo fixado pelo fiscal do contrato, com a indicação dos empregados que preencheram as referidas vagas (</w:t>
      </w:r>
      <w:hyperlink r:id="rId53" w:anchor="art116" w:history="1">
        <w:r>
          <w:rPr>
            <w:rFonts w:ascii="Cambria" w:hAnsi="Cambria"/>
            <w:sz w:val="24"/>
            <w:szCs w:val="24"/>
            <w:lang w:eastAsia="zh-CN"/>
          </w:rPr>
          <w:t>art. 116, parágrafo único, da Lei n.º 14.133, de 2021</w:t>
        </w:r>
      </w:hyperlink>
      <w:r>
        <w:rPr>
          <w:rFonts w:ascii="Cambria" w:hAnsi="Cambria"/>
          <w:sz w:val="24"/>
          <w:szCs w:val="24"/>
          <w:lang w:eastAsia="zh-CN"/>
        </w:rPr>
        <w:t>).</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Guardar sigilo sobre todas as informações obtidas em decorrência do cumprimento do contrato.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lastRenderedPageBreak/>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4" w:anchor="art124" w:history="1">
        <w:r>
          <w:rPr>
            <w:rFonts w:ascii="Cambria" w:hAnsi="Cambria"/>
            <w:sz w:val="24"/>
            <w:szCs w:val="24"/>
            <w:lang w:eastAsia="zh-CN"/>
          </w:rPr>
          <w:t>art. 124, II, d, da Lei nº 14.133, de 2021</w:t>
        </w:r>
      </w:hyperlink>
      <w:r>
        <w:rPr>
          <w:rFonts w:ascii="Cambria" w:hAnsi="Cambria"/>
          <w:sz w:val="24"/>
          <w:szCs w:val="24"/>
          <w:lang w:eastAsia="zh-CN"/>
        </w:rPr>
        <w:t>.</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Cumprir, além dos postulados legais vigentes de âmbito federal, estadual ou municipal, as normas de segurança do contratante.</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Orientar e treinar seus empregados sobre os deveres previstos na Lei nº 13.709, de 14 de agosto de 2018, se for o caso, adotando medidas eficazes para proteção de dados pessoais a que tenha acesso por força da execução deste contrato.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Conduzir os trabalhos com estrita observância às normas da legislação pertinente, cumprindo as determinações dos Poderes Públicos, mantendo sempre limpo o local de execução do objeto e nas melhores condições de segurança, higiene e disciplina.</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Submeter previamente, por escrito, ao contratante, para análise e aprovação, quaisquer mudanças nos métodos executivos que fujam às especificações do memorial descritivo ou instrumento congênere.</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Não permitir a utilização de qualquer trabalho do menor de dezesseis anos, exceto na condição de aprendiz para os maiores de quatorze anos, nem permitir a utilização do trabalho do menor de dezoito anos em trabalho noturno, perigoso ou insalubre.</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Assinar e devolver a ordem de serviço ao Município de Miraíma/CE no prazo máximo de 24 (vinte e quatro) horas, a contar da data do seu recebimento.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Executar os serviços licitados no prazo máximo estabelecido no termo de referência, contados do recebimento da ordem de serviço,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A reparar, corrigir, remover ou substituir, às suas expensas, no total ou em parte, o objeto do contrato em que se verificarem vícios, defeitos ou incorreções.</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lastRenderedPageBreak/>
        <w:t>Aceitar, nas mesmas condições contratuais, os acréscimos ou supressões que se fizerem no fornecimento, até 25% (vinte e cinco por cento) do valor inicial atualizado do contrato, na forma do art. 125º da Lei n.º 14.133/21.</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numPr>
          <w:ilvl w:val="0"/>
          <w:numId w:val="31"/>
        </w:numPr>
        <w:tabs>
          <w:tab w:val="left" w:pos="284"/>
        </w:tabs>
        <w:suppressAutoHyphens/>
        <w:spacing w:line="276" w:lineRule="auto"/>
        <w:ind w:left="0" w:firstLine="0"/>
        <w:contextualSpacing/>
        <w:jc w:val="both"/>
        <w:rPr>
          <w:rFonts w:ascii="Cambria" w:hAnsi="Cambria"/>
          <w:sz w:val="24"/>
          <w:szCs w:val="24"/>
          <w:lang w:eastAsia="zh-CN"/>
        </w:rPr>
      </w:pPr>
      <w:r>
        <w:rPr>
          <w:rFonts w:ascii="Cambria" w:hAnsi="Cambria"/>
          <w:sz w:val="24"/>
          <w:szCs w:val="24"/>
          <w:lang w:eastAsia="zh-CN"/>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 E ainda:</w:t>
      </w:r>
    </w:p>
    <w:p>
      <w:pPr>
        <w:tabs>
          <w:tab w:val="left" w:pos="284"/>
        </w:tabs>
        <w:spacing w:line="276" w:lineRule="auto"/>
        <w:contextualSpacing/>
        <w:jc w:val="both"/>
        <w:rPr>
          <w:rFonts w:ascii="Cambria" w:hAnsi="Cambria"/>
          <w:sz w:val="24"/>
          <w:szCs w:val="24"/>
          <w:lang w:eastAsia="zh-CN"/>
        </w:rPr>
      </w:pPr>
      <w:r>
        <w:rPr>
          <w:rFonts w:ascii="Cambria" w:hAnsi="Cambria"/>
          <w:sz w:val="24"/>
          <w:szCs w:val="24"/>
          <w:lang w:eastAsia="zh-CN"/>
        </w:rPr>
        <w:br/>
      </w:r>
      <w:r>
        <w:rPr>
          <w:rFonts w:ascii="Cambria" w:hAnsi="Cambria"/>
          <w:b/>
          <w:sz w:val="24"/>
          <w:szCs w:val="24"/>
          <w:lang w:eastAsia="zh-CN"/>
        </w:rPr>
        <w:t>10.3.2.</w:t>
      </w:r>
      <w:r>
        <w:rPr>
          <w:rFonts w:ascii="Cambria" w:hAnsi="Cambria"/>
          <w:sz w:val="24"/>
          <w:szCs w:val="24"/>
          <w:lang w:eastAsia="zh-CN"/>
        </w:rPr>
        <w:t xml:space="preserve"> Fica estabelecida as seguintes exigências para os veículos:</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I – ser registrado e licenciado, no Estado de Ceará, como veículo de transporte de passageiros, na categoria oficial para os veículos de propriedade do município, e de aluguel para os veículos locados;</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II – possuir todos os equipamentos obrigatórios previstos na legislação de trânsito vigente, em pleno funcionamento;</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III – seja regularizado, com no máximo 15(quinze) anos de fabricação, ou conforme especificado na descrição do item para os veículos, prevalecendo o descrito no item;</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IV – Os veículos deverão ser entregues caracterizados conforme grafismos e logomarcas padrões do município de Miraíma/CE, a serem estabelecidos pela contratante;</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V – Equipamento registrador instantâneo inalterável de velocidade e tempo (tacógrafo), em perfeitas condições de funcionamento e com Certificado de Aferição emitido pelo INMETRO, dentro do prazo de validade;</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VI – lanternas de luz branca, fosca ou amarela, dispostas nas extremidades da parte superior dianteira, e de luz vermelha nas extremidades da parte superior traseira;</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VII – cintos de segurança em número igual à lotação, adaptados na forma estabelecida pela legislação de trânsito vigente;</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VIII – extintor de incêndio com carga de pó ABC, de no mínimo 4 (quatro) kg, fixado na parte dianteira do compartimento destinado aos passageiros;</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IX – possuir instalado no veículo, espelho retrovisores, equipamento do tipo câmera-monitor ou outro dispositivo equivalente com comprovada eficiência técnica, com as especificações técnicas necessárias quanto à aplicação, à fabricação e à instalação dos dispositivos para visão indireta, de conformidade com os anexos I, II e III, da Resolução CONTRAN nº 504/2014; e</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X – outros requisitos e equipamentos estabelecidos pelo Código de Trânsito Brasileiro e pelo Conselho Nacional de Trânsito – CONTRAN.</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 xml:space="preserve">XI – Para o atendimento da exigência disciplinada no Inciso IV deste artigo, será admitida a utilização de faixa adesiva em substituição à pintura, desde que atendidas todas as </w:t>
      </w:r>
      <w:r>
        <w:rPr>
          <w:rFonts w:ascii="Cambria" w:hAnsi="Cambria"/>
          <w:sz w:val="24"/>
          <w:szCs w:val="24"/>
          <w:lang w:eastAsia="zh-CN"/>
        </w:rPr>
        <w:lastRenderedPageBreak/>
        <w:t>demais especificações, sendo vedada a utilização de faixa imantada, magnética ou a utilização de qualquer outro dispositivo de fácil remoção.</w:t>
      </w:r>
    </w:p>
    <w:p>
      <w:pPr>
        <w:tabs>
          <w:tab w:val="left" w:pos="284"/>
        </w:tabs>
        <w:suppressAutoHyphens/>
        <w:spacing w:line="276" w:lineRule="auto"/>
        <w:contextualSpacing/>
        <w:jc w:val="both"/>
        <w:rPr>
          <w:rFonts w:ascii="Cambria" w:hAnsi="Cambria"/>
          <w:sz w:val="24"/>
          <w:szCs w:val="24"/>
          <w:lang w:eastAsia="zh-CN"/>
        </w:rPr>
      </w:pPr>
      <w:r>
        <w:rPr>
          <w:rFonts w:ascii="Cambria" w:hAnsi="Cambria"/>
          <w:sz w:val="24"/>
          <w:szCs w:val="24"/>
          <w:lang w:eastAsia="zh-CN"/>
        </w:rPr>
        <w:t>XII – O município deverá realizar Vistorias para realizar cadastro e após providenciar as informações sobre os dados de seus veículos e condutores para fins de realização de vistorias conforme planilha gerada no aplicativo.</w:t>
      </w:r>
    </w:p>
    <w:p>
      <w:pPr>
        <w:tabs>
          <w:tab w:val="left" w:pos="284"/>
        </w:tabs>
        <w:suppressAutoHyphens/>
        <w:contextualSpacing/>
        <w:jc w:val="both"/>
        <w:rPr>
          <w:rFonts w:ascii="Cambria" w:hAnsi="Cambria"/>
          <w:sz w:val="24"/>
          <w:szCs w:val="24"/>
          <w:lang w:eastAsia="zh-CN"/>
        </w:rPr>
      </w:pPr>
      <w:r>
        <w:rPr>
          <w:rFonts w:ascii="Cambria" w:hAnsi="Cambria"/>
          <w:sz w:val="24"/>
          <w:szCs w:val="24"/>
          <w:lang w:eastAsia="zh-CN"/>
        </w:rPr>
        <w:t>XIII – A não realização da vistoria dos veículos implicará na averbação automática de bloqueio administrativo no cadastro do veículo até sua regularização.</w:t>
      </w:r>
    </w:p>
    <w:p>
      <w:pPr>
        <w:tabs>
          <w:tab w:val="left" w:pos="284"/>
        </w:tabs>
        <w:suppressAutoHyphens/>
        <w:contextualSpacing/>
        <w:jc w:val="both"/>
        <w:rPr>
          <w:rFonts w:ascii="Cambria" w:hAnsi="Cambria"/>
          <w:sz w:val="24"/>
          <w:szCs w:val="24"/>
          <w:highlight w:val="yellow"/>
          <w:lang w:eastAsia="zh-CN"/>
        </w:rPr>
      </w:pPr>
    </w:p>
    <w:p>
      <w:pPr>
        <w:pStyle w:val="PargrafodaLista"/>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426"/>
          <w:tab w:val="left" w:pos="2525"/>
          <w:tab w:val="center" w:pos="4873"/>
        </w:tabs>
        <w:suppressAutoHyphens/>
        <w:spacing w:after="0" w:line="276" w:lineRule="auto"/>
        <w:ind w:left="0" w:firstLine="0"/>
        <w:jc w:val="both"/>
        <w:rPr>
          <w:rFonts w:ascii="Cambria" w:hAnsi="Cambria"/>
          <w:b/>
          <w:sz w:val="24"/>
          <w:szCs w:val="24"/>
          <w:lang w:eastAsia="zh-CN"/>
        </w:rPr>
      </w:pPr>
      <w:r>
        <w:rPr>
          <w:rFonts w:ascii="Cambria" w:hAnsi="Cambria"/>
          <w:b/>
          <w:sz w:val="24"/>
          <w:szCs w:val="24"/>
          <w:lang w:eastAsia="zh-CN"/>
        </w:rPr>
        <w:t>INFRAÇÕES E SANÇÕES ADMINISTRATIVAS (</w:t>
      </w:r>
      <w:hyperlink r:id="rId55" w:anchor="art92" w:history="1">
        <w:r>
          <w:rPr>
            <w:rFonts w:ascii="Cambria" w:hAnsi="Cambria"/>
            <w:b/>
            <w:sz w:val="24"/>
            <w:szCs w:val="24"/>
            <w:lang w:eastAsia="zh-CN"/>
          </w:rPr>
          <w:t>art. 92, XIV</w:t>
        </w:r>
      </w:hyperlink>
      <w:r>
        <w:rPr>
          <w:rFonts w:ascii="Cambria" w:hAnsi="Cambria"/>
          <w:b/>
          <w:sz w:val="24"/>
          <w:szCs w:val="24"/>
          <w:lang w:eastAsia="zh-CN"/>
        </w:rPr>
        <w:t>)</w:t>
      </w: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 xml:space="preserve">Comete infração administrativa, nos termos da </w:t>
      </w:r>
      <w:hyperlink r:id="rId56" w:history="1">
        <w:r>
          <w:rPr>
            <w:rFonts w:ascii="Cambria" w:hAnsi="Cambria"/>
            <w:b/>
            <w:sz w:val="24"/>
            <w:szCs w:val="24"/>
            <w:lang w:eastAsia="zh-CN"/>
          </w:rPr>
          <w:t>Lei nº 14.133, de 2021</w:t>
        </w:r>
      </w:hyperlink>
      <w:r>
        <w:rPr>
          <w:rFonts w:ascii="Cambria" w:hAnsi="Cambria"/>
          <w:b/>
          <w:sz w:val="24"/>
          <w:szCs w:val="24"/>
          <w:lang w:eastAsia="zh-CN"/>
        </w:rPr>
        <w:t>, o licitante/adjudicatário que, com dolo ou culpa:</w:t>
      </w:r>
    </w:p>
    <w:p>
      <w:pPr>
        <w:numPr>
          <w:ilvl w:val="2"/>
          <w:numId w:val="25"/>
        </w:numPr>
        <w:tabs>
          <w:tab w:val="left" w:pos="284"/>
          <w:tab w:val="left" w:pos="851"/>
          <w:tab w:val="left" w:pos="1276"/>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deixar de entregar a documentação exigida para o certame ou não entregar qualquer documento que tenha sido solicitado pelo/a pregoeiro/a durante o certame;</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Salvo em decorrência de fato superveniente devidamente justificado, não mantiver a proposta em especial quando:</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 xml:space="preserve">b.1) não enviar a proposta adequada ao último lance ofertado ou após a negociação; </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 xml:space="preserve">b.2) recusar-se a enviar o detalhamento da proposta quando exigível; </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 xml:space="preserve">b.3) pedir para ser desclassificado quando encerrada a etapa competitiva; ou </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b.4) deixar de apresentar amostra;</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 xml:space="preserve">b.5) apresentar proposta ou amostra em desacordo com as especificações do edital; </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não celebrar o contrato ou não entregar a documentação exigida para a assinatura de tais instrumentos, quando convocado dentro do prazo de validade de sua proposta;</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recusar-se, sem justificativa, a assinar a ata de registro de preço ou contrato, ou a aceitar ou retirar o instrumento equivalente no prazo estabelecido pela Administração;</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apresentar declaração ou documentação falsa exigida para o certame ou prestar declaração falsa durante a licitação;</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fraudar a licitação;</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comportar-se de modo inidôneo ou cometer fraude de qualquer natureza, em especial quando:</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agir em conluio ou em desconformidade com a lei; </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induzir deliberadamente a erro no julgamento; </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apresentar amostra falsificada ou deteriorada; </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praticar atos ilícitos com vistas a frustrar os objetivos da licitação;</w:t>
      </w:r>
    </w:p>
    <w:p>
      <w:pPr>
        <w:numPr>
          <w:ilvl w:val="2"/>
          <w:numId w:val="25"/>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praticar ato lesivo previsto no </w:t>
      </w:r>
      <w:hyperlink r:id="rId57" w:anchor="art5" w:history="1">
        <w:r>
          <w:rPr>
            <w:rFonts w:ascii="Cambria" w:hAnsi="Cambria"/>
            <w:bCs/>
            <w:sz w:val="24"/>
            <w:szCs w:val="24"/>
            <w:lang w:eastAsia="zh-CN"/>
          </w:rPr>
          <w:t>art. 5º da Lei n.º 12.846, de 2013</w:t>
        </w:r>
      </w:hyperlink>
      <w:r>
        <w:rPr>
          <w:rFonts w:ascii="Cambria" w:hAnsi="Cambria"/>
          <w:bCs/>
          <w:sz w:val="24"/>
          <w:szCs w:val="24"/>
          <w:lang w:eastAsia="zh-CN"/>
        </w:rPr>
        <w:t>.</w:t>
      </w:r>
    </w:p>
    <w:p>
      <w:pPr>
        <w:tabs>
          <w:tab w:val="left" w:pos="567"/>
          <w:tab w:val="left" w:pos="851"/>
          <w:tab w:val="left" w:pos="993"/>
          <w:tab w:val="center" w:pos="4873"/>
        </w:tabs>
        <w:suppressAutoHyphens/>
        <w:contextualSpacing/>
        <w:jc w:val="both"/>
        <w:rPr>
          <w:rFonts w:ascii="Cambria" w:hAnsi="Cambria"/>
          <w:b/>
          <w:sz w:val="24"/>
          <w:szCs w:val="24"/>
          <w:lang w:eastAsia="zh-CN"/>
        </w:rPr>
      </w:pPr>
    </w:p>
    <w:p>
      <w:pPr>
        <w:numPr>
          <w:ilvl w:val="2"/>
          <w:numId w:val="33"/>
        </w:numPr>
        <w:tabs>
          <w:tab w:val="left" w:pos="567"/>
          <w:tab w:val="left" w:pos="709"/>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Serão aplicadas ao licitante/adjudicatário que incorrer nas infrações acima descritas, garantida a defesa prévia, sem prejuízo das responsabilidades civil e criminal, as seguintes sanções:</w:t>
      </w:r>
    </w:p>
    <w:p>
      <w:pPr>
        <w:numPr>
          <w:ilvl w:val="2"/>
          <w:numId w:val="26"/>
        </w:numPr>
        <w:tabs>
          <w:tab w:val="left" w:pos="284"/>
          <w:tab w:val="left" w:pos="851"/>
          <w:tab w:val="left" w:pos="1276"/>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 xml:space="preserve">advertência; </w:t>
      </w:r>
    </w:p>
    <w:p>
      <w:pPr>
        <w:numPr>
          <w:ilvl w:val="2"/>
          <w:numId w:val="26"/>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multa;</w:t>
      </w:r>
    </w:p>
    <w:p>
      <w:pPr>
        <w:numPr>
          <w:ilvl w:val="2"/>
          <w:numId w:val="26"/>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impedimento de licitar e contratar e</w:t>
      </w:r>
    </w:p>
    <w:p>
      <w:pPr>
        <w:numPr>
          <w:ilvl w:val="2"/>
          <w:numId w:val="26"/>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declaração de inidoneidade para licitar ou contratar, enquanto perdurarem os motivos determinantes da punição ou até que seja promovida sua reabilitação perante a própria autoridade que aplicou a penalidade.</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Na aplicação das sanções serão considerados:</w:t>
      </w:r>
    </w:p>
    <w:p>
      <w:pPr>
        <w:numPr>
          <w:ilvl w:val="2"/>
          <w:numId w:val="27"/>
        </w:numPr>
        <w:tabs>
          <w:tab w:val="left" w:pos="284"/>
          <w:tab w:val="left" w:pos="851"/>
          <w:tab w:val="left" w:pos="1276"/>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a natureza e a gravidade da infração cometida.</w:t>
      </w:r>
    </w:p>
    <w:p>
      <w:pPr>
        <w:numPr>
          <w:ilvl w:val="2"/>
          <w:numId w:val="27"/>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as peculiaridades do caso concreto</w:t>
      </w:r>
    </w:p>
    <w:p>
      <w:pPr>
        <w:numPr>
          <w:ilvl w:val="2"/>
          <w:numId w:val="27"/>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as circunstâncias agravantes ou atenuantes</w:t>
      </w:r>
    </w:p>
    <w:p>
      <w:pPr>
        <w:numPr>
          <w:ilvl w:val="2"/>
          <w:numId w:val="27"/>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os danos que dela provierem para a Administração Pública</w:t>
      </w:r>
    </w:p>
    <w:p>
      <w:pPr>
        <w:numPr>
          <w:ilvl w:val="2"/>
          <w:numId w:val="27"/>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implantação ou o aperfeiçoamento de programa de integridade, conforme normas e orientações dos órgãos de controle.</w:t>
      </w:r>
    </w:p>
    <w:p>
      <w:pPr>
        <w:numPr>
          <w:ilvl w:val="2"/>
          <w:numId w:val="33"/>
        </w:numPr>
        <w:tabs>
          <w:tab w:val="left" w:pos="567"/>
          <w:tab w:val="left" w:pos="709"/>
          <w:tab w:val="left" w:pos="1134"/>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Para fins de dosimetria e cálculo das penalidades acima impostas, estas tomarão como base os parâmetros delineados no tópico a seguir.</w:t>
      </w:r>
    </w:p>
    <w:p>
      <w:pPr>
        <w:tabs>
          <w:tab w:val="left" w:pos="567"/>
          <w:tab w:val="left" w:pos="709"/>
          <w:tab w:val="left" w:pos="851"/>
          <w:tab w:val="left" w:pos="2525"/>
          <w:tab w:val="center" w:pos="4873"/>
        </w:tabs>
        <w:suppressAutoHyphens/>
        <w:contextualSpacing/>
        <w:jc w:val="both"/>
        <w:rPr>
          <w:rFonts w:ascii="Cambria" w:hAnsi="Cambria"/>
          <w:b/>
          <w:sz w:val="24"/>
          <w:szCs w:val="24"/>
          <w:lang w:eastAsia="zh-CN"/>
        </w:rPr>
      </w:pPr>
    </w:p>
    <w:p>
      <w:pPr>
        <w:numPr>
          <w:ilvl w:val="1"/>
          <w:numId w:val="33"/>
        </w:numPr>
        <w:tabs>
          <w:tab w:val="left" w:pos="567"/>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 xml:space="preserve">Comete infração administrativa, nos termos da </w:t>
      </w:r>
      <w:hyperlink r:id="rId58" w:history="1">
        <w:r>
          <w:rPr>
            <w:rFonts w:ascii="Cambria" w:hAnsi="Cambria"/>
            <w:b/>
            <w:sz w:val="24"/>
            <w:szCs w:val="24"/>
            <w:lang w:eastAsia="zh-CN"/>
          </w:rPr>
          <w:t>Lei nº 14.133, de 2021</w:t>
        </w:r>
      </w:hyperlink>
      <w:r>
        <w:rPr>
          <w:rFonts w:ascii="Cambria" w:hAnsi="Cambria"/>
          <w:b/>
          <w:sz w:val="24"/>
          <w:szCs w:val="24"/>
          <w:lang w:eastAsia="zh-CN"/>
        </w:rPr>
        <w:t>, o contratado que, com dolo ou culpa:</w:t>
      </w:r>
    </w:p>
    <w:p>
      <w:pPr>
        <w:numPr>
          <w:ilvl w:val="2"/>
          <w:numId w:val="28"/>
        </w:numPr>
        <w:tabs>
          <w:tab w:val="left" w:pos="284"/>
          <w:tab w:val="left" w:pos="851"/>
          <w:tab w:val="left" w:pos="1276"/>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der causa à inexecução parcial do contrato;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der causa à inexecução parcial do contrato que cause grave dano à Administração ou ao funcionamento dos serviços públicos ou ao interesse coletivo;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der causa à inexecução total do contrato;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ensejar o retardamento da execução ou da entrega do objeto da contratação sem motivo justificado;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apresentar documentação falsa ou prestar declaração falsa durante a execução do contrato;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praticar ato fraudulento na execução do contrato;</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comportar-se de modo inidôneo ou cometer fraude de qualquer natureza;</w:t>
      </w:r>
    </w:p>
    <w:p>
      <w:pPr>
        <w:numPr>
          <w:ilvl w:val="2"/>
          <w:numId w:val="28"/>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praticar ato lesivo previsto no </w:t>
      </w:r>
      <w:hyperlink r:id="rId59" w:anchor="art5" w:history="1">
        <w:r>
          <w:rPr>
            <w:rFonts w:ascii="Cambria" w:hAnsi="Cambria"/>
            <w:bCs/>
            <w:sz w:val="24"/>
            <w:szCs w:val="24"/>
            <w:lang w:eastAsia="zh-CN"/>
          </w:rPr>
          <w:t>art. 5º da Lei nº 12.846, de 1º de agosto de 2013</w:t>
        </w:r>
      </w:hyperlink>
      <w:r>
        <w:rPr>
          <w:rFonts w:ascii="Cambria" w:hAnsi="Cambria"/>
          <w:bCs/>
          <w:sz w:val="24"/>
          <w:szCs w:val="24"/>
          <w:lang w:eastAsia="zh-CN"/>
        </w:rPr>
        <w:t>.</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Serão aplicadas ao contratado que incorrer nas infrações acima descritas as seguintes sanções:</w:t>
      </w:r>
    </w:p>
    <w:p>
      <w:pPr>
        <w:numPr>
          <w:ilvl w:val="2"/>
          <w:numId w:val="29"/>
        </w:numPr>
        <w:tabs>
          <w:tab w:val="left" w:pos="284"/>
          <w:tab w:val="left" w:pos="851"/>
          <w:tab w:val="left" w:pos="1276"/>
          <w:tab w:val="left" w:pos="2525"/>
          <w:tab w:val="center" w:pos="4873"/>
        </w:tabs>
        <w:suppressAutoHyphens/>
        <w:spacing w:line="276" w:lineRule="auto"/>
        <w:contextualSpacing/>
        <w:jc w:val="both"/>
        <w:rPr>
          <w:rFonts w:ascii="Cambria" w:hAnsi="Cambria"/>
          <w:bCs/>
          <w:sz w:val="24"/>
          <w:szCs w:val="24"/>
          <w:lang w:eastAsia="zh-CN"/>
        </w:rPr>
      </w:pPr>
      <w:r>
        <w:rPr>
          <w:rFonts w:ascii="Cambria" w:hAnsi="Cambria"/>
          <w:b/>
          <w:sz w:val="24"/>
          <w:szCs w:val="24"/>
          <w:lang w:eastAsia="zh-CN"/>
        </w:rPr>
        <w:t>Advertência</w:t>
      </w:r>
      <w:r>
        <w:rPr>
          <w:rFonts w:ascii="Cambria" w:hAnsi="Cambria"/>
          <w:bCs/>
          <w:sz w:val="24"/>
          <w:szCs w:val="24"/>
          <w:lang w:eastAsia="zh-CN"/>
        </w:rPr>
        <w:t>, quando o contratado der causa à inexecução parcial do contrato, sempre que não se justificar a imposição de penalidade mais grave (</w:t>
      </w:r>
      <w:hyperlink r:id="rId60" w:anchor="art156§2" w:history="1">
        <w:r>
          <w:rPr>
            <w:rFonts w:ascii="Cambria" w:hAnsi="Cambria"/>
            <w:bCs/>
            <w:sz w:val="24"/>
            <w:szCs w:val="24"/>
            <w:lang w:eastAsia="zh-CN"/>
          </w:rPr>
          <w:t>art. 156, §2º, da Lei nº 14.133, de 2021</w:t>
        </w:r>
      </w:hyperlink>
      <w:r>
        <w:rPr>
          <w:rFonts w:ascii="Cambria" w:hAnsi="Cambria"/>
          <w:bCs/>
          <w:sz w:val="24"/>
          <w:szCs w:val="24"/>
          <w:lang w:eastAsia="zh-CN"/>
        </w:rPr>
        <w:t>);</w:t>
      </w:r>
    </w:p>
    <w:p>
      <w:pPr>
        <w:numPr>
          <w:ilvl w:val="2"/>
          <w:numId w:val="29"/>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
          <w:sz w:val="24"/>
          <w:szCs w:val="24"/>
          <w:lang w:eastAsia="zh-CN"/>
        </w:rPr>
        <w:t>Impedimento de licitar e contratar</w:t>
      </w:r>
      <w:r>
        <w:rPr>
          <w:rFonts w:ascii="Cambria" w:hAnsi="Cambria"/>
          <w:bCs/>
          <w:sz w:val="24"/>
          <w:szCs w:val="24"/>
          <w:lang w:eastAsia="zh-CN"/>
        </w:rPr>
        <w:t>, quando praticadas as condutas descritas nas alíneas “b”, “c” e “d” do subitem acima, sempre que não se justificar a imposição de penalidade mais grave (</w:t>
      </w:r>
      <w:hyperlink r:id="rId61" w:anchor="art156§4" w:history="1">
        <w:r>
          <w:rPr>
            <w:rFonts w:ascii="Cambria" w:hAnsi="Cambria"/>
            <w:bCs/>
            <w:sz w:val="24"/>
            <w:szCs w:val="24"/>
            <w:lang w:eastAsia="zh-CN"/>
          </w:rPr>
          <w:t>art. 156, § 4º, da Lei nº 14.133, de 2021</w:t>
        </w:r>
      </w:hyperlink>
      <w:r>
        <w:rPr>
          <w:rFonts w:ascii="Cambria" w:hAnsi="Cambria"/>
          <w:bCs/>
          <w:sz w:val="24"/>
          <w:szCs w:val="24"/>
          <w:lang w:eastAsia="zh-CN"/>
        </w:rPr>
        <w:t>);</w:t>
      </w:r>
    </w:p>
    <w:p>
      <w:pPr>
        <w:numPr>
          <w:ilvl w:val="2"/>
          <w:numId w:val="29"/>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
          <w:sz w:val="24"/>
          <w:szCs w:val="24"/>
          <w:lang w:eastAsia="zh-CN"/>
        </w:rPr>
        <w:t>Declaração de inidoneidade para licitar e contratar</w:t>
      </w:r>
      <w:r>
        <w:rPr>
          <w:rFonts w:ascii="Cambria" w:hAnsi="Cambria"/>
          <w:bCs/>
          <w:sz w:val="24"/>
          <w:szCs w:val="24"/>
          <w:lang w:eastAsia="zh-CN"/>
        </w:rPr>
        <w:t>, quando praticadas as condutas descritas nas alíneas “e”, “f”, “g” e “h” do subitem acima, bem como nas alíneas “b”, “c” e “d”, que justifiquem a imposição de penalidade mais grave (</w:t>
      </w:r>
      <w:hyperlink r:id="rId62" w:anchor="art156§5" w:history="1">
        <w:r>
          <w:rPr>
            <w:rFonts w:ascii="Cambria" w:hAnsi="Cambria"/>
            <w:bCs/>
            <w:sz w:val="24"/>
            <w:szCs w:val="24"/>
            <w:lang w:eastAsia="zh-CN"/>
          </w:rPr>
          <w:t>art. 156, §5º, da Lei nº 14.133, de 2021</w:t>
        </w:r>
      </w:hyperlink>
      <w:r>
        <w:rPr>
          <w:rFonts w:ascii="Cambria" w:hAnsi="Cambria"/>
          <w:bCs/>
          <w:sz w:val="24"/>
          <w:szCs w:val="24"/>
          <w:lang w:eastAsia="zh-CN"/>
        </w:rPr>
        <w:t>).</w:t>
      </w:r>
    </w:p>
    <w:p>
      <w:pPr>
        <w:numPr>
          <w:ilvl w:val="2"/>
          <w:numId w:val="29"/>
        </w:numPr>
        <w:tabs>
          <w:tab w:val="left" w:pos="284"/>
          <w:tab w:val="left" w:pos="851"/>
          <w:tab w:val="left" w:pos="1276"/>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
          <w:sz w:val="24"/>
          <w:szCs w:val="24"/>
          <w:lang w:eastAsia="zh-CN"/>
        </w:rPr>
        <w:t>Multa</w:t>
      </w:r>
      <w:r>
        <w:rPr>
          <w:rFonts w:ascii="Cambria" w:hAnsi="Cambria"/>
          <w:bCs/>
          <w:sz w:val="24"/>
          <w:szCs w:val="24"/>
          <w:lang w:eastAsia="zh-CN"/>
        </w:rPr>
        <w:t>:</w:t>
      </w:r>
    </w:p>
    <w:p>
      <w:pPr>
        <w:tabs>
          <w:tab w:val="left" w:pos="284"/>
          <w:tab w:val="left" w:pos="851"/>
          <w:tab w:val="left" w:pos="1276"/>
          <w:tab w:val="left" w:pos="2525"/>
          <w:tab w:val="center" w:pos="4873"/>
        </w:tabs>
        <w:suppressAutoHyphens/>
        <w:jc w:val="both"/>
        <w:rPr>
          <w:rFonts w:ascii="Cambria" w:hAnsi="Cambria"/>
          <w:bCs/>
          <w:sz w:val="24"/>
          <w:szCs w:val="24"/>
          <w:lang w:eastAsia="zh-CN"/>
        </w:rPr>
      </w:pPr>
      <w:r>
        <w:rPr>
          <w:rFonts w:ascii="Cambria" w:hAnsi="Cambria"/>
          <w:bCs/>
          <w:sz w:val="24"/>
          <w:szCs w:val="24"/>
          <w:lang w:eastAsia="zh-CN"/>
        </w:rPr>
        <w:lastRenderedPageBreak/>
        <w:t>d.1) Moratória de 1% (um por cento) por dia de atraso injustificado sobre o valor da parcela inadimplida, até o limite de 30 (trinta) dias;</w:t>
      </w:r>
    </w:p>
    <w:p>
      <w:pPr>
        <w:tabs>
          <w:tab w:val="left" w:pos="284"/>
          <w:tab w:val="left" w:pos="851"/>
          <w:tab w:val="left" w:pos="1276"/>
          <w:tab w:val="left" w:pos="2525"/>
          <w:tab w:val="center" w:pos="4873"/>
        </w:tabs>
        <w:suppressAutoHyphens/>
        <w:contextualSpacing/>
        <w:jc w:val="both"/>
        <w:rPr>
          <w:rFonts w:ascii="Cambria" w:hAnsi="Cambria"/>
          <w:bCs/>
          <w:sz w:val="24"/>
          <w:szCs w:val="24"/>
          <w:lang w:eastAsia="zh-CN"/>
        </w:rPr>
      </w:pPr>
      <w:r>
        <w:rPr>
          <w:rFonts w:ascii="Cambria" w:hAnsi="Cambria"/>
          <w:bCs/>
          <w:sz w:val="24"/>
          <w:szCs w:val="24"/>
          <w:lang w:eastAsia="zh-CN"/>
        </w:rPr>
        <w:t>d.2) Compensatória de 30% (trinta por cento) sobre o valor total do contrato, no caso de inexecução total do objeto.</w:t>
      </w:r>
    </w:p>
    <w:p>
      <w:pPr>
        <w:numPr>
          <w:ilvl w:val="2"/>
          <w:numId w:val="33"/>
        </w:numPr>
        <w:tabs>
          <w:tab w:val="left" w:pos="567"/>
          <w:tab w:val="left" w:pos="709"/>
          <w:tab w:val="left" w:pos="851"/>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aplicação das sanções previstas neste Contrato não exclui, em hipótese alguma, a obrigação de reparação integral do dano causado ao Contratante (</w:t>
      </w:r>
      <w:hyperlink r:id="rId63" w:anchor="art156§9" w:history="1">
        <w:r>
          <w:rPr>
            <w:rFonts w:ascii="Cambria" w:hAnsi="Cambria"/>
            <w:bCs/>
            <w:sz w:val="24"/>
            <w:szCs w:val="24"/>
            <w:lang w:eastAsia="zh-CN"/>
          </w:rPr>
          <w:t>art. 156, §9º, da Lei nº 14.133, de 2021</w:t>
        </w:r>
      </w:hyperlink>
      <w:r>
        <w:rPr>
          <w:rFonts w:ascii="Cambria" w:hAnsi="Cambria"/>
          <w:bCs/>
          <w:sz w:val="24"/>
          <w:szCs w:val="24"/>
          <w:lang w:eastAsia="zh-CN"/>
        </w:rPr>
        <w:t>)</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Todas as sanções previstas neste Contrato poderão ser aplicadas cumulativamente com a multa (</w:t>
      </w:r>
      <w:hyperlink r:id="rId64" w:anchor="art156§7" w:history="1">
        <w:r>
          <w:rPr>
            <w:rFonts w:ascii="Cambria" w:hAnsi="Cambria"/>
            <w:bCs/>
            <w:sz w:val="24"/>
            <w:szCs w:val="24"/>
            <w:lang w:eastAsia="zh-CN"/>
          </w:rPr>
          <w:t>art. 156, §7º, da Lei nº 14.133, de 2021</w:t>
        </w:r>
      </w:hyperlink>
      <w:r>
        <w:rPr>
          <w:rFonts w:ascii="Cambria" w:hAnsi="Cambria"/>
          <w:bCs/>
          <w:sz w:val="24"/>
          <w:szCs w:val="24"/>
          <w:lang w:eastAsia="zh-CN"/>
        </w:rPr>
        <w:t>).</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Antes da aplicação da multa será facultada a defesa do interessado no prazo de 05 (CINCO) DIAS úteis, contado da data de sua intimação (</w:t>
      </w:r>
      <w:hyperlink r:id="rId65" w:anchor="art157" w:history="1">
        <w:r>
          <w:rPr>
            <w:rFonts w:ascii="Cambria" w:hAnsi="Cambria"/>
            <w:bCs/>
            <w:sz w:val="24"/>
            <w:szCs w:val="24"/>
            <w:lang w:eastAsia="zh-CN"/>
          </w:rPr>
          <w:t>art. 157, da Lei nº 14.133, de 2021</w:t>
        </w:r>
      </w:hyperlink>
      <w:r>
        <w:rPr>
          <w:rFonts w:ascii="Cambria" w:hAnsi="Cambria"/>
          <w:bCs/>
          <w:sz w:val="24"/>
          <w:szCs w:val="24"/>
          <w:lang w:eastAsia="zh-CN"/>
        </w:rPr>
        <w:t>).</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66" w:anchor="art156§8" w:history="1">
        <w:r>
          <w:rPr>
            <w:rFonts w:ascii="Cambria" w:hAnsi="Cambria"/>
            <w:bCs/>
            <w:sz w:val="24"/>
            <w:szCs w:val="24"/>
            <w:lang w:eastAsia="zh-CN"/>
          </w:rPr>
          <w:t>art. 156, §8º, da Lei nº 14.133, de 2021</w:t>
        </w:r>
      </w:hyperlink>
      <w:r>
        <w:rPr>
          <w:rFonts w:ascii="Cambria" w:hAnsi="Cambria"/>
          <w:bCs/>
          <w:sz w:val="24"/>
          <w:szCs w:val="24"/>
          <w:lang w:eastAsia="zh-CN"/>
        </w:rPr>
        <w:t>).</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Previamente ao encaminhamento à cobrança judicial, a multa poderá ser recolhida administrativamente no prazo máximo de 30 (trinta) dias, a contar da data do recebimento da comunicação enviada pela autoridade competente.</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 aplicação das sanções realizar-se-á em processo administrativo que assegure o contraditório e a ampla defesa ao Contratado, observando-se o procedimento previsto no caput e parágrafos do </w:t>
      </w:r>
      <w:hyperlink r:id="rId67" w:anchor="art158" w:history="1">
        <w:r>
          <w:rPr>
            <w:rFonts w:ascii="Cambria" w:hAnsi="Cambria"/>
            <w:bCs/>
            <w:sz w:val="24"/>
            <w:szCs w:val="24"/>
            <w:lang w:eastAsia="zh-CN"/>
          </w:rPr>
          <w:t>art. 158 da Lei nº 14.133, de 2021</w:t>
        </w:r>
      </w:hyperlink>
      <w:r>
        <w:rPr>
          <w:rFonts w:ascii="Cambria" w:hAnsi="Cambria"/>
          <w:bCs/>
          <w:sz w:val="24"/>
          <w:szCs w:val="24"/>
          <w:lang w:eastAsia="zh-CN"/>
        </w:rPr>
        <w:t>, para as penalidades de impedimento de licitar e contratar e de declaração de inidoneidade para licitar ou contratar.</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Na aplicação das sanções serão considerados (</w:t>
      </w:r>
      <w:hyperlink r:id="rId68" w:anchor="art156§1" w:history="1">
        <w:r>
          <w:rPr>
            <w:rFonts w:ascii="Cambria" w:hAnsi="Cambria"/>
            <w:bCs/>
            <w:sz w:val="24"/>
            <w:szCs w:val="24"/>
            <w:lang w:eastAsia="zh-CN"/>
          </w:rPr>
          <w:t>art. 156, §1º, da Lei nº 14.133, de 2021</w:t>
        </w:r>
      </w:hyperlink>
      <w:r>
        <w:rPr>
          <w:rFonts w:ascii="Cambria" w:hAnsi="Cambria"/>
          <w:bCs/>
          <w:sz w:val="24"/>
          <w:szCs w:val="24"/>
          <w:lang w:eastAsia="zh-CN"/>
        </w:rPr>
        <w:t>):</w:t>
      </w:r>
    </w:p>
    <w:p>
      <w:pPr>
        <w:numPr>
          <w:ilvl w:val="2"/>
          <w:numId w:val="30"/>
        </w:numPr>
        <w:tabs>
          <w:tab w:val="left" w:pos="284"/>
          <w:tab w:val="left" w:pos="851"/>
          <w:tab w:val="left" w:pos="993"/>
          <w:tab w:val="left" w:pos="1276"/>
          <w:tab w:val="center" w:pos="4873"/>
        </w:tabs>
        <w:suppressAutoHyphens/>
        <w:spacing w:line="276" w:lineRule="auto"/>
        <w:contextualSpacing/>
        <w:jc w:val="both"/>
        <w:rPr>
          <w:rFonts w:ascii="Cambria" w:hAnsi="Cambria"/>
          <w:bCs/>
          <w:sz w:val="24"/>
          <w:szCs w:val="24"/>
          <w:lang w:eastAsia="zh-CN"/>
        </w:rPr>
      </w:pPr>
      <w:r>
        <w:rPr>
          <w:rFonts w:ascii="Cambria" w:hAnsi="Cambria"/>
          <w:bCs/>
          <w:sz w:val="24"/>
          <w:szCs w:val="24"/>
          <w:lang w:eastAsia="zh-CN"/>
        </w:rPr>
        <w:t>a natureza e a gravidade da infração cometida;</w:t>
      </w:r>
    </w:p>
    <w:p>
      <w:pPr>
        <w:numPr>
          <w:ilvl w:val="2"/>
          <w:numId w:val="30"/>
        </w:numPr>
        <w:tabs>
          <w:tab w:val="left" w:pos="284"/>
          <w:tab w:val="left" w:pos="851"/>
          <w:tab w:val="left" w:pos="993"/>
          <w:tab w:val="left" w:pos="1276"/>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as peculiaridades do caso concreto;</w:t>
      </w:r>
    </w:p>
    <w:p>
      <w:pPr>
        <w:numPr>
          <w:ilvl w:val="2"/>
          <w:numId w:val="30"/>
        </w:numPr>
        <w:tabs>
          <w:tab w:val="left" w:pos="284"/>
          <w:tab w:val="left" w:pos="851"/>
          <w:tab w:val="left" w:pos="993"/>
          <w:tab w:val="left" w:pos="1276"/>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as circunstâncias agravantes ou atenuantes;</w:t>
      </w:r>
    </w:p>
    <w:p>
      <w:pPr>
        <w:numPr>
          <w:ilvl w:val="2"/>
          <w:numId w:val="30"/>
        </w:numPr>
        <w:tabs>
          <w:tab w:val="left" w:pos="284"/>
          <w:tab w:val="left" w:pos="851"/>
          <w:tab w:val="left" w:pos="993"/>
          <w:tab w:val="left" w:pos="1276"/>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os danos que dela provierem para o Contratante;</w:t>
      </w:r>
    </w:p>
    <w:p>
      <w:pPr>
        <w:numPr>
          <w:ilvl w:val="2"/>
          <w:numId w:val="30"/>
        </w:numPr>
        <w:tabs>
          <w:tab w:val="left" w:pos="284"/>
          <w:tab w:val="left" w:pos="851"/>
          <w:tab w:val="left" w:pos="993"/>
          <w:tab w:val="left" w:pos="1276"/>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implantação ou o aperfeiçoamento de programa de integridade, conforme normas e orientações dos órgãos de controle.</w:t>
      </w:r>
    </w:p>
    <w:p>
      <w:pPr>
        <w:numPr>
          <w:ilvl w:val="2"/>
          <w:numId w:val="33"/>
        </w:numPr>
        <w:tabs>
          <w:tab w:val="left" w:pos="567"/>
          <w:tab w:val="left" w:pos="709"/>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Os atos previstos como infrações administrativas na </w:t>
      </w:r>
      <w:hyperlink r:id="rId69" w:history="1">
        <w:r>
          <w:rPr>
            <w:rFonts w:ascii="Cambria" w:hAnsi="Cambria"/>
            <w:bCs/>
            <w:sz w:val="24"/>
            <w:szCs w:val="24"/>
            <w:lang w:eastAsia="zh-CN"/>
          </w:rPr>
          <w:t>Lei nº 14.133, de 2021</w:t>
        </w:r>
      </w:hyperlink>
      <w:r>
        <w:rPr>
          <w:rFonts w:ascii="Cambria" w:hAnsi="Cambria"/>
          <w:bCs/>
          <w:sz w:val="24"/>
          <w:szCs w:val="24"/>
          <w:lang w:eastAsia="zh-CN"/>
        </w:rPr>
        <w:t xml:space="preserve">, ou em outras leis de licitações e contratos da Administração Pública que também sejam tipificados como atos lesivos na </w:t>
      </w:r>
      <w:hyperlink r:id="rId70" w:history="1">
        <w:r>
          <w:rPr>
            <w:rFonts w:ascii="Cambria" w:hAnsi="Cambria"/>
            <w:bCs/>
            <w:sz w:val="24"/>
            <w:szCs w:val="24"/>
            <w:lang w:eastAsia="zh-CN"/>
          </w:rPr>
          <w:t>Lei nº 12.846, de 2013</w:t>
        </w:r>
      </w:hyperlink>
      <w:r>
        <w:rPr>
          <w:rFonts w:ascii="Cambria" w:hAnsi="Cambria"/>
          <w:bCs/>
          <w:sz w:val="24"/>
          <w:szCs w:val="24"/>
          <w:lang w:eastAsia="zh-CN"/>
        </w:rPr>
        <w:t>, serão apurados e julgados conjuntamente, nos mesmos autos, observados o rito procedimental e autoridade competente definidos na referida Lei (</w:t>
      </w:r>
      <w:hyperlink r:id="rId71" w:history="1">
        <w:r>
          <w:rPr>
            <w:rFonts w:ascii="Cambria" w:hAnsi="Cambria"/>
            <w:bCs/>
            <w:sz w:val="24"/>
            <w:szCs w:val="24"/>
            <w:lang w:eastAsia="zh-CN"/>
          </w:rPr>
          <w:t>art. 159</w:t>
        </w:r>
      </w:hyperlink>
      <w:r>
        <w:rPr>
          <w:rFonts w:ascii="Cambria" w:hAnsi="Cambria"/>
          <w:bCs/>
          <w:sz w:val="24"/>
          <w:szCs w:val="24"/>
          <w:lang w:eastAsia="zh-CN"/>
        </w:rPr>
        <w:t>).</w:t>
      </w:r>
    </w:p>
    <w:p>
      <w:pPr>
        <w:numPr>
          <w:ilvl w:val="2"/>
          <w:numId w:val="33"/>
        </w:numPr>
        <w:tabs>
          <w:tab w:val="left" w:pos="567"/>
          <w:tab w:val="left" w:pos="709"/>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 personalidade jurídica do Contratado poderá ser desconsiderada sempre que utilizada com abuso do direito para facilitar, encobrir ou dissimular a prática dos atos ilícitos previstos neste Contrato ou para provocar confusão patrimonial, e, nesse caso, </w:t>
      </w:r>
      <w:r>
        <w:rPr>
          <w:rFonts w:ascii="Cambria" w:hAnsi="Cambria"/>
          <w:bCs/>
          <w:sz w:val="24"/>
          <w:szCs w:val="24"/>
          <w:lang w:eastAsia="zh-CN"/>
        </w:rPr>
        <w:lastRenderedPageBreak/>
        <w:t>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2" w:anchor="art160" w:history="1">
        <w:r>
          <w:rPr>
            <w:rFonts w:ascii="Cambria" w:hAnsi="Cambria"/>
            <w:bCs/>
            <w:sz w:val="24"/>
            <w:szCs w:val="24"/>
            <w:lang w:eastAsia="zh-CN"/>
          </w:rPr>
          <w:t>art. 160, da Lei nº 14.133, de 2021</w:t>
        </w:r>
      </w:hyperlink>
      <w:r>
        <w:rPr>
          <w:rFonts w:ascii="Cambria" w:hAnsi="Cambria"/>
          <w:bCs/>
          <w:sz w:val="24"/>
          <w:szCs w:val="24"/>
          <w:lang w:eastAsia="zh-CN"/>
        </w:rPr>
        <w:t>).</w:t>
      </w:r>
    </w:p>
    <w:p>
      <w:pPr>
        <w:numPr>
          <w:ilvl w:val="2"/>
          <w:numId w:val="33"/>
        </w:numPr>
        <w:tabs>
          <w:tab w:val="left" w:pos="567"/>
          <w:tab w:val="left" w:pos="709"/>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73" w:anchor="art161" w:history="1">
        <w:r>
          <w:rPr>
            <w:rFonts w:ascii="Cambria" w:hAnsi="Cambria"/>
            <w:bCs/>
            <w:sz w:val="24"/>
            <w:szCs w:val="24"/>
            <w:lang w:eastAsia="zh-CN"/>
          </w:rPr>
          <w:t>Art. 161, da Lei nº 14.133, de 2021</w:t>
        </w:r>
      </w:hyperlink>
      <w:r>
        <w:rPr>
          <w:rFonts w:ascii="Cambria" w:hAnsi="Cambria"/>
          <w:bCs/>
          <w:sz w:val="24"/>
          <w:szCs w:val="24"/>
          <w:lang w:eastAsia="zh-CN"/>
        </w:rPr>
        <w:t>).</w:t>
      </w:r>
    </w:p>
    <w:p>
      <w:pPr>
        <w:numPr>
          <w:ilvl w:val="2"/>
          <w:numId w:val="33"/>
        </w:numPr>
        <w:tabs>
          <w:tab w:val="left" w:pos="567"/>
          <w:tab w:val="left" w:pos="709"/>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As sanções de impedimento de licitar e contratar e declaração de inidoneidade para licitar ou contratar são passíveis de reabilitação na forma do </w:t>
      </w:r>
      <w:hyperlink r:id="rId74" w:anchor="163" w:history="1">
        <w:r>
          <w:rPr>
            <w:rFonts w:ascii="Cambria" w:hAnsi="Cambria"/>
            <w:bCs/>
            <w:sz w:val="24"/>
            <w:szCs w:val="24"/>
            <w:lang w:eastAsia="zh-CN"/>
          </w:rPr>
          <w:t>art. 163 da Lei nº 14.133/21</w:t>
        </w:r>
      </w:hyperlink>
      <w:r>
        <w:rPr>
          <w:rFonts w:ascii="Cambria" w:hAnsi="Cambria"/>
          <w:bCs/>
          <w:sz w:val="24"/>
          <w:szCs w:val="24"/>
          <w:lang w:eastAsia="zh-CN"/>
        </w:rPr>
        <w:t>.</w:t>
      </w:r>
    </w:p>
    <w:p>
      <w:pPr>
        <w:numPr>
          <w:ilvl w:val="2"/>
          <w:numId w:val="33"/>
        </w:numPr>
        <w:tabs>
          <w:tab w:val="left" w:pos="567"/>
          <w:tab w:val="left" w:pos="709"/>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tabs>
          <w:tab w:val="left" w:pos="567"/>
          <w:tab w:val="left" w:pos="709"/>
          <w:tab w:val="left" w:pos="851"/>
          <w:tab w:val="left" w:pos="2525"/>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DA EXTINÇÃO CONTRATUAL (</w:t>
      </w:r>
      <w:hyperlink r:id="rId75" w:anchor="art92" w:history="1">
        <w:r>
          <w:rPr>
            <w:rFonts w:ascii="Cambria" w:hAnsi="Cambria"/>
            <w:b/>
            <w:sz w:val="24"/>
            <w:szCs w:val="24"/>
            <w:lang w:eastAsia="zh-CN"/>
          </w:rPr>
          <w:t>art. 92, XIX</w:t>
        </w:r>
      </w:hyperlink>
      <w:r>
        <w:rPr>
          <w:rFonts w:ascii="Cambria" w:hAnsi="Cambria"/>
          <w:b/>
          <w:sz w:val="24"/>
          <w:szCs w:val="24"/>
          <w:lang w:eastAsia="zh-CN"/>
        </w:rPr>
        <w:t>)</w:t>
      </w:r>
    </w:p>
    <w:p>
      <w:pPr>
        <w:pStyle w:val="PargrafodaLista"/>
        <w:numPr>
          <w:ilvl w:val="1"/>
          <w:numId w:val="33"/>
        </w:numPr>
        <w:tabs>
          <w:tab w:val="left" w:pos="0"/>
          <w:tab w:val="left" w:pos="851"/>
          <w:tab w:val="center" w:pos="4873"/>
        </w:tabs>
        <w:suppressAutoHyphens/>
        <w:spacing w:after="0" w:line="276" w:lineRule="auto"/>
        <w:ind w:left="0" w:firstLine="0"/>
        <w:jc w:val="both"/>
        <w:rPr>
          <w:rFonts w:ascii="Cambria" w:hAnsi="Cambria"/>
          <w:bCs/>
          <w:sz w:val="24"/>
          <w:szCs w:val="24"/>
          <w:lang w:eastAsia="zh-CN"/>
        </w:rPr>
      </w:pPr>
      <w:r>
        <w:rPr>
          <w:rFonts w:ascii="Cambria" w:hAnsi="Cambria"/>
          <w:bCs/>
          <w:sz w:val="24"/>
          <w:szCs w:val="24"/>
          <w:lang w:eastAsia="zh-CN"/>
        </w:rPr>
        <w:t>O contrato se extingue quando vencido o prazo nele estipulado, independentemente de terem sido cumpridas ou não as obrigações de ambas as partes contraentes.</w:t>
      </w:r>
    </w:p>
    <w:p>
      <w:pPr>
        <w:pStyle w:val="PargrafodaLista"/>
        <w:numPr>
          <w:ilvl w:val="2"/>
          <w:numId w:val="33"/>
        </w:numPr>
        <w:tabs>
          <w:tab w:val="left" w:pos="0"/>
          <w:tab w:val="left" w:pos="567"/>
          <w:tab w:val="left" w:pos="851"/>
          <w:tab w:val="left" w:pos="2525"/>
          <w:tab w:val="center" w:pos="4873"/>
        </w:tabs>
        <w:suppressAutoHyphens/>
        <w:spacing w:after="0" w:line="276" w:lineRule="auto"/>
        <w:ind w:left="0" w:firstLine="0"/>
        <w:jc w:val="both"/>
        <w:rPr>
          <w:rFonts w:ascii="Cambria" w:hAnsi="Cambria"/>
          <w:bCs/>
          <w:sz w:val="24"/>
          <w:szCs w:val="24"/>
          <w:lang w:eastAsia="zh-CN"/>
        </w:rPr>
      </w:pPr>
      <w:r>
        <w:rPr>
          <w:rFonts w:ascii="Cambria" w:hAnsi="Cambria"/>
          <w:bCs/>
          <w:sz w:val="24"/>
          <w:szCs w:val="24"/>
          <w:lang w:eastAsia="zh-CN"/>
        </w:rPr>
        <w:t>O contrato pode ser extinto antes do prazo nele fixado, sem ônus para o Contratante, quando esta não dispuser de créditos orçamentários para sua continuidade ou quando entender que o contrato não mais lhe oferece vantagem.</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extinção nesta hipótese ocorrerá na próxima data de aniversário do contrato, desde que haja a notificação do contratado pelo contratante nesse sentido com pelo menos 2 (dois) meses de antecedência desse dia.</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Caso a notificação da não-continuidade do contrato de que trata este subitem ocorra com menos de 2 (dois) meses da data de aniversário, a extinção contratual ocorrerá após 2 (dois) meses da data da comunicação.</w:t>
      </w:r>
    </w:p>
    <w:p>
      <w:pPr>
        <w:numPr>
          <w:ilvl w:val="1"/>
          <w:numId w:val="33"/>
        </w:numPr>
        <w:tabs>
          <w:tab w:val="left" w:pos="567"/>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 contrato pode ser extinto antes de cumpridas as obrigações nele estipuladas, ou antes do prazo nele fixado, por algum dos motivos previstos no </w:t>
      </w:r>
      <w:hyperlink r:id="rId76" w:anchor="art137" w:history="1">
        <w:r>
          <w:rPr>
            <w:rFonts w:ascii="Cambria" w:hAnsi="Cambria"/>
            <w:bCs/>
            <w:sz w:val="24"/>
            <w:szCs w:val="24"/>
            <w:lang w:eastAsia="zh-CN"/>
          </w:rPr>
          <w:t>artigo 137 da Lei nº 14.133/21</w:t>
        </w:r>
      </w:hyperlink>
      <w:r>
        <w:rPr>
          <w:rFonts w:ascii="Cambria" w:hAnsi="Cambria"/>
          <w:bCs/>
          <w:sz w:val="24"/>
          <w:szCs w:val="24"/>
          <w:lang w:eastAsia="zh-CN"/>
        </w:rPr>
        <w:t>, bem como amigavelmente, assegurados o contraditório e a ampla defesa.</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Nesta hipótese, aplicam-se também os </w:t>
      </w:r>
      <w:hyperlink r:id="rId77" w:anchor="art138" w:history="1">
        <w:r>
          <w:rPr>
            <w:rFonts w:ascii="Cambria" w:hAnsi="Cambria"/>
            <w:bCs/>
            <w:sz w:val="24"/>
            <w:szCs w:val="24"/>
            <w:lang w:eastAsia="zh-CN"/>
          </w:rPr>
          <w:t>artigos 138 e 139 da mesma Lei</w:t>
        </w:r>
      </w:hyperlink>
      <w:r>
        <w:rPr>
          <w:rFonts w:ascii="Cambria" w:hAnsi="Cambria"/>
          <w:bCs/>
          <w:sz w:val="24"/>
          <w:szCs w:val="24"/>
          <w:lang w:eastAsia="zh-CN"/>
        </w:rPr>
        <w:t>.</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alteração social ou a modificação da finalidade ou da estrutura da empresa não ensejará a rescisão se não restringir sua capacidade de concluir o contrato.</w:t>
      </w:r>
    </w:p>
    <w:p>
      <w:pPr>
        <w:numPr>
          <w:ilvl w:val="3"/>
          <w:numId w:val="33"/>
        </w:numPr>
        <w:tabs>
          <w:tab w:val="left" w:pos="567"/>
          <w:tab w:val="left" w:pos="851"/>
          <w:tab w:val="left" w:pos="993"/>
          <w:tab w:val="left" w:pos="2525"/>
          <w:tab w:val="left" w:pos="3119"/>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Se a operação implicar mudança da pessoa jurídica contratada, deverá ser formalizado termo aditivo para alteração subjetiva.</w:t>
      </w:r>
    </w:p>
    <w:p>
      <w:pPr>
        <w:numPr>
          <w:ilvl w:val="1"/>
          <w:numId w:val="33"/>
        </w:numPr>
        <w:tabs>
          <w:tab w:val="left" w:pos="567"/>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lastRenderedPageBreak/>
        <w:t>O termo de rescisão, sempre que possível, será precedido:</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Balanço dos eventos contratuais já cumpridos ou parcialmente cumpridos;</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Relação dos pagamentos já efetuados e ainda devidos;</w:t>
      </w:r>
    </w:p>
    <w:p>
      <w:pPr>
        <w:numPr>
          <w:ilvl w:val="2"/>
          <w:numId w:val="33"/>
        </w:numPr>
        <w:tabs>
          <w:tab w:val="left" w:pos="567"/>
          <w:tab w:val="left" w:pos="709"/>
          <w:tab w:val="left" w:pos="851"/>
          <w:tab w:val="left" w:pos="2525"/>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Indenizações e multas.</w:t>
      </w:r>
    </w:p>
    <w:p>
      <w:pPr>
        <w:numPr>
          <w:ilvl w:val="1"/>
          <w:numId w:val="33"/>
        </w:numPr>
        <w:tabs>
          <w:tab w:val="left" w:pos="567"/>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extinção do contrato não configura óbice para o reconhecimento do desequilíbrio econômico-financeiro, hipótese em que será concedida indenização por meio de termo indenizatório (</w:t>
      </w:r>
      <w:hyperlink r:id="rId78" w:anchor="art131" w:history="1">
        <w:r>
          <w:rPr>
            <w:rFonts w:ascii="Cambria" w:hAnsi="Cambria"/>
            <w:bCs/>
            <w:sz w:val="24"/>
            <w:szCs w:val="24"/>
            <w:lang w:eastAsia="zh-CN"/>
          </w:rPr>
          <w:t>art. 131, caput, da Lei n.º 14.133, de 2021</w:t>
        </w:r>
      </w:hyperlink>
      <w:r>
        <w:rPr>
          <w:rFonts w:ascii="Cambria" w:hAnsi="Cambria"/>
          <w:bCs/>
          <w:sz w:val="24"/>
          <w:szCs w:val="24"/>
          <w:lang w:eastAsia="zh-CN"/>
        </w:rPr>
        <w:t xml:space="preserve">). </w:t>
      </w:r>
    </w:p>
    <w:p>
      <w:pPr>
        <w:numPr>
          <w:ilvl w:val="1"/>
          <w:numId w:val="33"/>
        </w:numPr>
        <w:tabs>
          <w:tab w:val="left" w:pos="567"/>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 dotação relativa aos exercícios financeiros subsequentes será indicada após aprovação da Lei Orçamentária respectiva e liberação dos créditos correspondentes, mediante apostilamento.</w:t>
      </w:r>
    </w:p>
    <w:p>
      <w:pPr>
        <w:tabs>
          <w:tab w:val="left" w:pos="567"/>
          <w:tab w:val="left" w:pos="851"/>
          <w:tab w:val="left" w:pos="993"/>
          <w:tab w:val="center" w:pos="4873"/>
        </w:tabs>
        <w:suppressAutoHyphens/>
        <w:contextualSpacing/>
        <w:jc w:val="both"/>
        <w:rPr>
          <w:rFonts w:ascii="Cambria" w:hAnsi="Cambria"/>
          <w:bCs/>
          <w:sz w:val="24"/>
          <w:szCs w:val="24"/>
          <w:lang w:eastAsia="zh-CN"/>
        </w:rPr>
      </w:pPr>
    </w:p>
    <w:p>
      <w:pPr>
        <w:numPr>
          <w:ilvl w:val="0"/>
          <w:numId w:val="33"/>
        </w:numPr>
        <w:pBdr>
          <w:top w:val="single" w:sz="4" w:space="1" w:color="D9D9D9"/>
          <w:left w:val="single" w:sz="4" w:space="4" w:color="D9D9D9"/>
          <w:bottom w:val="single" w:sz="4" w:space="1" w:color="D9D9D9"/>
          <w:right w:val="single" w:sz="4" w:space="4" w:color="D9D9D9"/>
        </w:pBdr>
        <w:shd w:val="clear" w:color="auto" w:fill="F2F2F2"/>
        <w:tabs>
          <w:tab w:val="left" w:pos="426"/>
          <w:tab w:val="left" w:pos="2525"/>
          <w:tab w:val="center" w:pos="4873"/>
        </w:tabs>
        <w:suppressAutoHyphens/>
        <w:spacing w:line="276" w:lineRule="auto"/>
        <w:ind w:left="0" w:firstLine="0"/>
        <w:contextualSpacing/>
        <w:jc w:val="both"/>
        <w:rPr>
          <w:rFonts w:ascii="Cambria" w:hAnsi="Cambria"/>
          <w:b/>
          <w:sz w:val="24"/>
          <w:szCs w:val="24"/>
          <w:lang w:eastAsia="zh-CN"/>
        </w:rPr>
      </w:pPr>
      <w:r>
        <w:rPr>
          <w:rFonts w:ascii="Cambria" w:hAnsi="Cambria"/>
          <w:b/>
          <w:sz w:val="24"/>
          <w:szCs w:val="24"/>
          <w:lang w:eastAsia="zh-CN"/>
        </w:rPr>
        <w:t>DOS CASOS OMISSOS (</w:t>
      </w:r>
      <w:hyperlink r:id="rId79" w:anchor="art92" w:history="1">
        <w:r>
          <w:rPr>
            <w:rFonts w:ascii="Cambria" w:hAnsi="Cambria"/>
            <w:b/>
            <w:sz w:val="24"/>
            <w:szCs w:val="24"/>
            <w:lang w:eastAsia="zh-CN"/>
          </w:rPr>
          <w:t>art. 92, III</w:t>
        </w:r>
      </w:hyperlink>
      <w:r>
        <w:rPr>
          <w:rFonts w:ascii="Cambria" w:hAnsi="Cambria"/>
          <w:b/>
          <w:sz w:val="24"/>
          <w:szCs w:val="24"/>
          <w:lang w:eastAsia="zh-CN"/>
        </w:rPr>
        <w:t>)</w:t>
      </w:r>
    </w:p>
    <w:p>
      <w:pPr>
        <w:numPr>
          <w:ilvl w:val="1"/>
          <w:numId w:val="33"/>
        </w:numPr>
        <w:tabs>
          <w:tab w:val="left" w:pos="567"/>
          <w:tab w:val="left" w:pos="851"/>
          <w:tab w:val="left" w:pos="993"/>
          <w:tab w:val="center" w:pos="4873"/>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Os casos omissos serão decididos pelo(s) órgão(s) demandante(s), segundo as disposições contidas na Lei </w:t>
      </w:r>
      <w:hyperlink r:id="rId80" w:history="1">
        <w:r>
          <w:rPr>
            <w:rFonts w:ascii="Cambria" w:hAnsi="Cambria"/>
            <w:bCs/>
            <w:sz w:val="24"/>
            <w:szCs w:val="24"/>
            <w:lang w:eastAsia="zh-CN"/>
          </w:rPr>
          <w:t>nº 14.133, de 2021</w:t>
        </w:r>
      </w:hyperlink>
      <w:r>
        <w:rPr>
          <w:rFonts w:ascii="Cambria" w:hAnsi="Cambria"/>
          <w:bCs/>
          <w:sz w:val="24"/>
          <w:szCs w:val="24"/>
          <w:lang w:eastAsia="zh-CN"/>
        </w:rPr>
        <w:t>, nos regulamentos e normas locais específicas, nas normas federais aplicáveis e, subsidiariamente, pelas normas e princípios gerais em Direito Admitidas.</w:t>
      </w:r>
    </w:p>
    <w:p>
      <w:pPr>
        <w:spacing w:after="160" w:line="259" w:lineRule="auto"/>
        <w:rPr>
          <w:rFonts w:ascii="Cambria" w:hAnsi="Cambria"/>
          <w:sz w:val="24"/>
          <w:szCs w:val="24"/>
        </w:rPr>
      </w:pPr>
      <w:r>
        <w:rPr>
          <w:rFonts w:ascii="Cambria" w:hAnsi="Cambria"/>
          <w:sz w:val="24"/>
          <w:szCs w:val="24"/>
        </w:rPr>
        <w:br w:type="page"/>
      </w:r>
    </w:p>
    <w:p>
      <w:pPr>
        <w:tabs>
          <w:tab w:val="left" w:pos="284"/>
        </w:tabs>
        <w:suppressAutoHyphens/>
        <w:autoSpaceDE w:val="0"/>
        <w:autoSpaceDN w:val="0"/>
        <w:adjustRightInd w:val="0"/>
        <w:contextualSpacing/>
        <w:jc w:val="center"/>
        <w:rPr>
          <w:rFonts w:ascii="Cambria" w:hAnsi="Cambria"/>
          <w:b/>
          <w:sz w:val="24"/>
          <w:szCs w:val="24"/>
          <w:lang w:eastAsia="zh-CN"/>
        </w:rPr>
      </w:pPr>
      <w:r>
        <w:rPr>
          <w:rFonts w:ascii="Cambria" w:hAnsi="Cambria"/>
          <w:b/>
          <w:sz w:val="24"/>
          <w:szCs w:val="24"/>
          <w:lang w:eastAsia="zh-CN"/>
        </w:rPr>
        <w:lastRenderedPageBreak/>
        <w:t>ANEXO I – TERMO DE REFERÊNCIA</w:t>
      </w:r>
    </w:p>
    <w:p>
      <w:pPr>
        <w:tabs>
          <w:tab w:val="left" w:pos="284"/>
        </w:tabs>
        <w:suppressAutoHyphens/>
        <w:contextualSpacing/>
        <w:rPr>
          <w:rFonts w:ascii="Cambria" w:hAnsi="Cambria"/>
          <w:b/>
          <w:sz w:val="24"/>
          <w:szCs w:val="24"/>
          <w:lang w:eastAsia="zh-CN"/>
        </w:rPr>
      </w:pPr>
      <w:r>
        <w:rPr>
          <w:rFonts w:ascii="Cambria" w:hAnsi="Cambria"/>
          <w:b/>
          <w:sz w:val="24"/>
          <w:szCs w:val="24"/>
          <w:lang w:eastAsia="zh-CN"/>
        </w:rPr>
        <w:t>1. DOS ITENS:</w:t>
      </w:r>
    </w:p>
    <w:p>
      <w:pPr>
        <w:tabs>
          <w:tab w:val="left" w:pos="284"/>
        </w:tabs>
        <w:suppressAutoHyphens/>
        <w:autoSpaceDE w:val="0"/>
        <w:autoSpaceDN w:val="0"/>
        <w:adjustRightInd w:val="0"/>
        <w:contextualSpacing/>
        <w:jc w:val="both"/>
        <w:rPr>
          <w:rFonts w:ascii="Cambria" w:hAnsi="Cambria"/>
          <w:bCs/>
          <w:sz w:val="24"/>
          <w:szCs w:val="24"/>
          <w:lang w:eastAsia="zh-CN"/>
        </w:rPr>
      </w:pPr>
      <w:r>
        <w:rPr>
          <w:rFonts w:ascii="Cambria" w:hAnsi="Cambria"/>
          <w:bCs/>
          <w:sz w:val="24"/>
          <w:szCs w:val="24"/>
          <w:lang w:eastAsia="zh-CN"/>
        </w:rPr>
        <w:t xml:space="preserve">1.1. </w:t>
      </w:r>
      <w:r>
        <w:rPr>
          <w:rFonts w:ascii="Cambria" w:hAnsi="Cambria"/>
          <w:sz w:val="24"/>
          <w:szCs w:val="24"/>
          <w:lang w:eastAsia="zh-CN"/>
        </w:rPr>
        <w:t>Justificativa quanto ao quantitativo: A definição dos quantitativos deu-se com base em levantamento pautado pelo histórico de utilização de exercícios anteriores e/ou em consonância com as necessidades das possíveis contratação prospectadas a longo prazo de vigência contratual, estipuladas por este(s) órgãos(s).</w:t>
      </w:r>
    </w:p>
    <w:p>
      <w:pPr>
        <w:tabs>
          <w:tab w:val="left" w:pos="284"/>
        </w:tabs>
        <w:suppressAutoHyphens/>
        <w:autoSpaceDE w:val="0"/>
        <w:autoSpaceDN w:val="0"/>
        <w:adjustRightInd w:val="0"/>
        <w:contextualSpacing/>
        <w:jc w:val="both"/>
        <w:rPr>
          <w:rFonts w:ascii="Cambria" w:hAnsi="Cambria"/>
          <w:b/>
          <w:sz w:val="24"/>
          <w:szCs w:val="24"/>
          <w:lang w:eastAsia="zh-CN"/>
        </w:rPr>
      </w:pPr>
      <w:r>
        <w:rPr>
          <w:rFonts w:ascii="Cambria" w:hAnsi="Cambria"/>
          <w:bCs/>
          <w:sz w:val="24"/>
          <w:szCs w:val="24"/>
          <w:lang w:eastAsia="zh-CN"/>
        </w:rPr>
        <w:t>1.2. Os quantitativos totais estipulados, bem como, a definição dos parâmetros e quantitativos para efeitos de formulação de proposta de preços constam do Anexo I deste Projeto Básico/Termo de Referência.</w:t>
      </w:r>
    </w:p>
    <w:p>
      <w:pPr>
        <w:tabs>
          <w:tab w:val="left" w:pos="284"/>
        </w:tabs>
        <w:suppressAutoHyphens/>
        <w:autoSpaceDE w:val="0"/>
        <w:autoSpaceDN w:val="0"/>
        <w:adjustRightInd w:val="0"/>
        <w:rPr>
          <w:rFonts w:ascii="Cambria" w:hAnsi="Cambria"/>
          <w:b/>
          <w:sz w:val="24"/>
          <w:szCs w:val="24"/>
          <w:lang w:eastAsia="zh-CN"/>
        </w:rPr>
      </w:pPr>
    </w:p>
    <w:p>
      <w:pPr>
        <w:tabs>
          <w:tab w:val="left" w:pos="284"/>
        </w:tabs>
        <w:suppressAutoHyphens/>
        <w:autoSpaceDE w:val="0"/>
        <w:autoSpaceDN w:val="0"/>
        <w:adjustRightInd w:val="0"/>
        <w:rPr>
          <w:rFonts w:ascii="Cambria" w:hAnsi="Cambria"/>
          <w:b/>
          <w:sz w:val="24"/>
          <w:szCs w:val="24"/>
          <w:lang w:eastAsia="zh-CN"/>
        </w:rPr>
      </w:pPr>
      <w:r>
        <w:rPr>
          <w:rFonts w:ascii="Cambria" w:hAnsi="Cambria"/>
          <w:b/>
          <w:sz w:val="24"/>
          <w:szCs w:val="24"/>
          <w:lang w:eastAsia="zh-CN"/>
        </w:rPr>
        <w:t>A) DOS QUANTITATIVOS TOTAIS DA LICITAÇÃO</w:t>
      </w:r>
    </w:p>
    <w:p>
      <w:pPr>
        <w:tabs>
          <w:tab w:val="left" w:pos="284"/>
        </w:tabs>
        <w:suppressAutoHyphens/>
        <w:autoSpaceDE w:val="0"/>
        <w:autoSpaceDN w:val="0"/>
        <w:adjustRightInd w:val="0"/>
        <w:rPr>
          <w:rFonts w:ascii="Cambria" w:hAnsi="Cambria"/>
          <w:b/>
          <w:sz w:val="24"/>
          <w:szCs w:val="24"/>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01 – VEÍCULOS PESADOS (SEC. DE AGRICULTURA E MEIO AMBIENTE)</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TIPO CAMINHÃO PIPA Locação de Veículo Tipo Caminhão Pipa - com capacidade mínima para 6.000 l,</w:t>
            </w:r>
            <w:r>
              <w:rPr>
                <w:sz w:val="18"/>
                <w:szCs w:val="18"/>
                <w:lang w:eastAsia="en-US"/>
              </w:rPr>
              <w:t xml:space="preserve"> </w:t>
            </w:r>
            <w:r>
              <w:rPr>
                <w:rFonts w:ascii="Cambria" w:hAnsi="Cambria"/>
                <w:bCs/>
                <w:sz w:val="18"/>
                <w:szCs w:val="18"/>
                <w:lang w:eastAsia="zh-CN"/>
              </w:rPr>
              <w:t>capacidade para 3 três passageiros, movido a óleo diesel, 2 portas, carroceria tipo pipa, em bom estado de conservação, combustível por conta da contratante, manutenção preventiva e corretiva por conta da contratada.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01</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R$ 14.287,96</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R$ 14.287,96</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Valor global: R$ 14.287,96 (Quatorze Mil, Duzentos e Oitenta e Sete Reais e Noventa e Seis Centavos)</w:t>
            </w:r>
          </w:p>
        </w:tc>
      </w:tr>
    </w:tbl>
    <w:p>
      <w:pPr>
        <w:tabs>
          <w:tab w:val="left" w:pos="284"/>
        </w:tabs>
        <w:suppressAutoHyphens/>
        <w:autoSpaceDE w:val="0"/>
        <w:autoSpaceDN w:val="0"/>
        <w:adjustRightInd w:val="0"/>
        <w:rPr>
          <w:rFonts w:ascii="Cambria" w:hAnsi="Cambria"/>
          <w:b/>
          <w:sz w:val="24"/>
          <w:szCs w:val="24"/>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02 – VEÍCULOS PESADOS (SEC. DE EDUCAÇÃO)</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
                <w:sz w:val="18"/>
                <w:szCs w:val="18"/>
                <w:lang w:eastAsia="zh-CN"/>
              </w:rPr>
              <w:t>LOCAÇÃO DE VEÍCULO TIPO MICROÔNIBUS</w:t>
            </w:r>
            <w:r>
              <w:rPr>
                <w:rFonts w:ascii="Cambria" w:hAnsi="Cambria"/>
                <w:bCs/>
                <w:sz w:val="18"/>
                <w:szCs w:val="18"/>
                <w:lang w:eastAsia="zh-CN"/>
              </w:rPr>
              <w:t xml:space="preserve"> Locação de Veículo Tipo Micro-ônibus capacidade mínima para 28 Vinte e oito passageiros, com ar-condicionado, direção hidráulica, movido a diesel, em bom estado de conservação, combustível por conta da contratante, manutenção preventiva e corretiva por conta da contratada.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R$ 13.670,00 </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R$ 54.680,00</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2</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ÔNIBUS </w:t>
            </w:r>
            <w:r>
              <w:rPr>
                <w:rFonts w:ascii="Cambria" w:hAnsi="Cambria"/>
                <w:bCs/>
                <w:sz w:val="18"/>
                <w:szCs w:val="18"/>
                <w:lang w:eastAsia="zh-CN"/>
              </w:rPr>
              <w:t>Locação de Veículo Tipo Ônibus capacidade mínima para 45 quarenta e cinco passageiros, com arcondicionado, direção hidráulica, movido a diesel, em bom estado de conservação, combustível por conta da contratante, manutenção preventiva e corretiva por conta da contratada.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R$ 19.712,60 </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R$ 78.850,40</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3</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VAN </w:t>
            </w:r>
            <w:r>
              <w:rPr>
                <w:rFonts w:ascii="Cambria" w:hAnsi="Cambria"/>
                <w:bCs/>
                <w:sz w:val="18"/>
                <w:szCs w:val="18"/>
                <w:lang w:eastAsia="zh-CN"/>
              </w:rPr>
              <w:t>Locação de Veículo Tipo VAN capacidade mínima para 14 quatorze passageiros, com arcondicionado, direção hidráulica, movido a diesel, em bom estado de conservação, combustível por conta da contratante, manutenção preventiva e corretiva por conta da contratada.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R$ 13.132,88 </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R$ 26.265,76</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4</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VAN CAPACIDADE MÍNIMA PARA 16 DEZESSEIS PASSAGEIROS </w:t>
            </w:r>
            <w:r>
              <w:rPr>
                <w:rFonts w:ascii="Cambria" w:hAnsi="Cambria"/>
                <w:bCs/>
                <w:sz w:val="18"/>
                <w:szCs w:val="18"/>
                <w:lang w:eastAsia="zh-CN"/>
              </w:rPr>
              <w:lastRenderedPageBreak/>
              <w:t>Locação de Veículo Tipo VAN capacidade mínima para 16 dezesseis passageiros, com arcondicionado, direção hidráulica, movido a diesel, em bom estado de conservação, combustível por conta da contratante, manutenção preventiva e corretiva por conta da contratada Ano mínimo 2014.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R$ 15.258,00 </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R$ 30.516,00</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5</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VAN CAPACIDADE MÍNIMA PARA 20 VINTE PASSAGEIROS </w:t>
            </w:r>
            <w:r>
              <w:rPr>
                <w:rFonts w:ascii="Cambria" w:hAnsi="Cambria"/>
                <w:bCs/>
                <w:sz w:val="18"/>
                <w:szCs w:val="18"/>
                <w:lang w:eastAsia="zh-CN"/>
              </w:rPr>
              <w:t>Locação de Veículo Tipo VAN capacidade mínima para 20 vinte passageiros, com arcondicionado, direção hidráulica, movido a diesel, em bom estado de conservação, combustível por conta da contratante, manutenção preventiva e corretiva por conta da contratada Ano mínimo 2014.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R$ 16.015,67 </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R$ 32.031,34</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 xml:space="preserve">Valor Global: R$ </w:t>
            </w:r>
            <w:r>
              <w:rPr>
                <w:rFonts w:ascii="Cambria" w:hAnsi="Cambria"/>
                <w:color w:val="000000"/>
                <w:sz w:val="18"/>
                <w:szCs w:val="18"/>
              </w:rPr>
              <w:t>222.343,50 (Duzentos e Vinte e Dois Mil, Trezentos e Quarenta e Três Reais e Cinquenta Centavos)</w:t>
            </w:r>
          </w:p>
        </w:tc>
      </w:tr>
    </w:tbl>
    <w:p>
      <w:pPr>
        <w:suppressAutoHyphens/>
        <w:jc w:val="both"/>
        <w:rPr>
          <w:rFonts w:ascii="Cambria" w:hAnsi="Cambria"/>
          <w:color w:val="0D0D0D"/>
          <w:sz w:val="24"/>
          <w:szCs w:val="24"/>
          <w:shd w:val="clear" w:color="auto" w:fill="FFFFFF"/>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03 – VEÍCULOS UTILITÁRIOS (SEC. DE EDUCAÇÃO)</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PASSEIO/UTILITÁRIO </w:t>
            </w:r>
            <w:r>
              <w:rPr>
                <w:rFonts w:ascii="Cambria" w:hAnsi="Cambria"/>
                <w:bCs/>
                <w:sz w:val="18"/>
                <w:szCs w:val="18"/>
                <w:lang w:eastAsia="zh-CN"/>
              </w:rPr>
              <w:t>Locação de Veículo Tipo Passeio/Utilitário com no mínimo 1800cc, 04 quatro portas, com arcondicionado, capacidade para 07 sete passageiros, em bom estado de conservação, combustível por conta da contratante, manutenção preventiva e corretiva por conta da contratada Ano mínimo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06</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R$ 6.546,67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R$ 39.280,02</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2</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POPULAR 04 QUATRO PORTAS </w:t>
            </w:r>
            <w:r>
              <w:rPr>
                <w:rFonts w:ascii="Cambria" w:hAnsi="Cambria"/>
                <w:bCs/>
                <w:sz w:val="18"/>
                <w:szCs w:val="18"/>
                <w:lang w:eastAsia="zh-CN"/>
              </w:rPr>
              <w:t>Locação de Veículo Tipo Popular 04 quatro portas, direção hidráulica, arcondicionado, capacidade para 05 cinco passageiros, com no mínimo 1000cc, em bom estado de conservação, combustível por conta da contratante, manutenção preventiva e corretiva por conta da contratada Ano mínimo do veículo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R$ 5.135,00</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R$ 20.540,00</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3</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POPULAR SEDAN </w:t>
            </w:r>
            <w:r>
              <w:rPr>
                <w:rFonts w:ascii="Cambria" w:hAnsi="Cambria"/>
                <w:bCs/>
                <w:sz w:val="18"/>
                <w:szCs w:val="18"/>
                <w:lang w:eastAsia="zh-CN"/>
              </w:rPr>
              <w:t>Locação de Veículo Tipo Popular Sedan com no mínimo 1000cc, 04 quatro portas, com arcondicionado, capacidade para 05 cinco passageiros, em bom estado de conservação, combustível por conta da contratante, manutenção preventiva e corretiva por conta da contratada Ano mínimo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R$ 5.116,11</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R$ 20.464,44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4</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CABINE DUPLA CAMIONETE 4X4 – 04 QUATRO PORTAS </w:t>
            </w:r>
            <w:r>
              <w:rPr>
                <w:rFonts w:ascii="Cambria" w:hAnsi="Cambria"/>
                <w:bCs/>
                <w:sz w:val="18"/>
                <w:szCs w:val="18"/>
                <w:lang w:eastAsia="zh-CN"/>
              </w:rPr>
              <w:t>Locação de Veículo Utilitário Cabine Dupla Camionete 4x4 – 04 quatro portas, direção hidráulica, câmbio automático, capacidade para 05 cinco passageiros, movido a Diesel, carroceria aberta, arcondicionado, com no mínimo 2800cc, em bom estado de conservação, combustível por conta da contratante, manutenção preventiva e corretiva por conta da contratada Ano mínimo 2022.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R$ 13.096,67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R$ 26.193,34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5</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CABINE SIMPLES – 02 DUAS PORTAS </w:t>
            </w:r>
            <w:r>
              <w:rPr>
                <w:rFonts w:ascii="Cambria" w:hAnsi="Cambria"/>
                <w:bCs/>
                <w:sz w:val="18"/>
                <w:szCs w:val="18"/>
                <w:lang w:eastAsia="zh-CN"/>
              </w:rPr>
              <w:t xml:space="preserve">Locação de Veículo </w:t>
            </w:r>
            <w:r>
              <w:rPr>
                <w:rFonts w:ascii="Cambria" w:hAnsi="Cambria"/>
                <w:bCs/>
                <w:sz w:val="18"/>
                <w:szCs w:val="18"/>
                <w:lang w:eastAsia="zh-CN"/>
              </w:rPr>
              <w:lastRenderedPageBreak/>
              <w:t>Utilitário Cabine Simples – 02 duas portas, direção hidráulica, capacidade para 02 dois passageiros, movido a álcool/gasolina, carroceria aberta, arcondicionado, com no mínimo 1400cc, em bom estado de conservação, combustível por conta da contratante, manutenção preventiva e corretiva por conta da contratada Ano mínimo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R$ 5.231,92</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R$ 10.463,84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6</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SUV – 04 QUATRO PORTAS </w:t>
            </w:r>
            <w:r>
              <w:rPr>
                <w:rFonts w:ascii="Cambria" w:hAnsi="Cambria"/>
                <w:bCs/>
                <w:sz w:val="18"/>
                <w:szCs w:val="18"/>
                <w:lang w:eastAsia="zh-CN"/>
              </w:rPr>
              <w:t>Locação de Veículo Utilitário SUV – 04 quatro portas,</w:t>
            </w:r>
            <w:r>
              <w:rPr>
                <w:sz w:val="18"/>
                <w:szCs w:val="18"/>
                <w:lang w:eastAsia="en-US"/>
              </w:rPr>
              <w:t xml:space="preserve"> </w:t>
            </w:r>
            <w:r>
              <w:rPr>
                <w:rFonts w:ascii="Cambria" w:hAnsi="Cambria"/>
                <w:bCs/>
                <w:sz w:val="18"/>
                <w:szCs w:val="18"/>
                <w:lang w:eastAsia="zh-CN"/>
              </w:rPr>
              <w:t>direção hidráulica, câmbio automático, capacidade para 05 cinco passageiros, movido a Diesel, carroceria aberta, arcondicionado, com no mínimo 1.800cc, em bom estado de conservação, combustível por conta da contratante, manutenção preventiva e corretiva por conta da contratada. Ano mínimo 2020.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R$ 8.630,16</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R$ 34.520,64</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Valor global: R$ 151.462,28 (Cento e Cinquenta e Um Mil, Quatrocentos e Sessenta e Dois Reais e Vinte e Oito Centavos)</w:t>
            </w:r>
          </w:p>
        </w:tc>
      </w:tr>
    </w:tbl>
    <w:p>
      <w:pPr>
        <w:suppressAutoHyphens/>
        <w:jc w:val="both"/>
        <w:rPr>
          <w:rFonts w:ascii="Cambria" w:hAnsi="Cambria"/>
          <w:b/>
          <w:bCs/>
          <w:color w:val="0D0D0D"/>
          <w:sz w:val="24"/>
          <w:szCs w:val="24"/>
          <w:shd w:val="clear" w:color="auto" w:fill="FFFFFF"/>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04 – VEÍCULO UTILITÁRIO (GABINETE DA PREFEITA)</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UTILITÁRIO CABINE DUPLA CAMIONETE 4X4 – 04 QUATRO PORTAS Locação de Veículo Utilitário Cabine Dupla Camionete 4x4 – 04 quatro portas, direção hidráulica, câmbio automático, capacidade para 05 cinco passageiros, movido a Diesel, carroceria aberta, ar-condicionado, com no mínimo 2.800cc, em bom estado de conservação, combustível por conta da contratante, manutenção preventiva e corretiva por conta da contratada. Ano mínimo 2022.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01</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R$ 13.846,67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R$ 13.846,67</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Valor global: R$ 13.846,67 (Treze Mil, Oitocentos e Quarenta e Seis Reais e Sessenta e Sete Centavos)</w:t>
            </w:r>
          </w:p>
        </w:tc>
      </w:tr>
    </w:tbl>
    <w:p>
      <w:pPr>
        <w:suppressAutoHyphens/>
        <w:jc w:val="both"/>
        <w:rPr>
          <w:rFonts w:ascii="Cambria" w:hAnsi="Cambria"/>
          <w:b/>
          <w:bCs/>
          <w:color w:val="0D0D0D"/>
          <w:sz w:val="24"/>
          <w:szCs w:val="24"/>
          <w:shd w:val="clear" w:color="auto" w:fill="FFFFFF"/>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05 – VEÍCULOS PESADOS (SEC DE INFRAESTRUTURA)</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TIPO CAMINHÃO 3/4 Locação de Veículo Tipo Caminhão 3/4 com capacidade mínima de 3000 kg, com</w:t>
            </w:r>
            <w:r>
              <w:rPr>
                <w:sz w:val="18"/>
                <w:szCs w:val="18"/>
                <w:lang w:eastAsia="en-US"/>
              </w:rPr>
              <w:t xml:space="preserve"> </w:t>
            </w:r>
            <w:r>
              <w:rPr>
                <w:rFonts w:ascii="Cambria" w:hAnsi="Cambria"/>
                <w:bCs/>
                <w:sz w:val="18"/>
                <w:szCs w:val="18"/>
                <w:lang w:eastAsia="zh-CN"/>
              </w:rPr>
              <w:t>capacidade para 3 três passageiros, movido a óleo diesel, 2 portas, carroceria aberta, em bom estado de conservação, combustível por conta da contratante, manutenção preventiva e corretiva por conta da contratada.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R$ 9.151,33</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R$ 18.302,66</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2</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TIPO CAMINHÃO CAÇAMBA 12 M³ Locação de Veículo Tipo Caminhão Caçamba 12 m³ - com capacidade</w:t>
            </w:r>
            <w:r>
              <w:rPr>
                <w:bCs/>
                <w:sz w:val="18"/>
                <w:szCs w:val="18"/>
                <w:lang w:eastAsia="en-US"/>
              </w:rPr>
              <w:t xml:space="preserve"> </w:t>
            </w:r>
            <w:r>
              <w:rPr>
                <w:rFonts w:ascii="Cambria" w:hAnsi="Cambria"/>
                <w:bCs/>
                <w:sz w:val="18"/>
                <w:szCs w:val="18"/>
                <w:lang w:eastAsia="zh-CN"/>
              </w:rPr>
              <w:t xml:space="preserve">mínima para 12 m³, com capacidade para 3 três passageiros, movido a óleo diesel, 2 portas, carroceria tipo caçamba, em bom estado de conservação, combustível por conta da contratante, manutenção preventiva e corretiva por </w:t>
            </w:r>
            <w:r>
              <w:rPr>
                <w:rFonts w:ascii="Cambria" w:hAnsi="Cambria"/>
                <w:bCs/>
                <w:sz w:val="18"/>
                <w:szCs w:val="18"/>
                <w:lang w:eastAsia="zh-CN"/>
              </w:rPr>
              <w:lastRenderedPageBreak/>
              <w:t>conta da contratada.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R$ 17.866,67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R$ 35.733,34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3</w:t>
            </w:r>
          </w:p>
        </w:tc>
        <w:tc>
          <w:tcPr>
            <w:tcW w:w="2361" w:type="pct"/>
          </w:tcPr>
          <w:p>
            <w:pPr>
              <w:pStyle w:val="PargrafodaLista"/>
              <w:widowControl w:val="0"/>
              <w:tabs>
                <w:tab w:val="left" w:pos="1944"/>
              </w:tabs>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TIPO CAMINHÃO CAÇAMBA 6 M³ Locação de Veículo Tipo Caminhão Caçamba 6 m³- com capacidade</w:t>
            </w:r>
            <w:r>
              <w:rPr>
                <w:bCs/>
                <w:sz w:val="18"/>
                <w:szCs w:val="18"/>
                <w:lang w:eastAsia="en-US"/>
              </w:rPr>
              <w:t xml:space="preserve"> </w:t>
            </w:r>
            <w:r>
              <w:rPr>
                <w:rFonts w:ascii="Cambria" w:hAnsi="Cambria"/>
                <w:bCs/>
                <w:sz w:val="18"/>
                <w:szCs w:val="18"/>
                <w:lang w:eastAsia="zh-CN"/>
              </w:rPr>
              <w:t>mínima para 6 m³, capacidade para 3 três passageiros, movido a óleo diesel, 2 portas, carroceria tipo caçamba, em bom estado de conservação, combustível por conta da contratante, manutenção preventiva e corretiva por conta da contratada.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R$ 14.363,44</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R$ 28.726,88</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4</w:t>
            </w:r>
          </w:p>
        </w:tc>
        <w:tc>
          <w:tcPr>
            <w:tcW w:w="2361" w:type="pct"/>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LOCAÇÃO DE VEÍCULO TIPO CAMINHÃO PIPA Locação de Veículo Tipo Caminhão Pipa - com capacidade mínima para 6.000 l</w:t>
            </w:r>
            <w:r>
              <w:rPr>
                <w:bCs/>
                <w:sz w:val="18"/>
                <w:szCs w:val="18"/>
                <w:lang w:eastAsia="en-US"/>
              </w:rPr>
              <w:t xml:space="preserve"> </w:t>
            </w:r>
            <w:r>
              <w:rPr>
                <w:rFonts w:ascii="Cambria" w:hAnsi="Cambria"/>
                <w:bCs/>
                <w:sz w:val="18"/>
                <w:szCs w:val="18"/>
                <w:lang w:eastAsia="zh-CN"/>
              </w:rPr>
              <w:t>capacidade para 3 três passageiros, movido a óleo diesel, 2 portas, carroceria tipo pipa, em bom estado de conservação, combustível por conta da contratante, manutenção preventiva e corretiva por conta da contratada.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R$ 14.287,96</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R$ 28.575,92</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Valor global: R$ 111.338,80 (Cento e Onze Mil, Trezentos e Trinta e Oito Reais e Oitenta Centavos)</w:t>
            </w:r>
          </w:p>
        </w:tc>
      </w:tr>
    </w:tbl>
    <w:p>
      <w:pPr>
        <w:suppressAutoHyphens/>
        <w:jc w:val="both"/>
        <w:rPr>
          <w:rFonts w:ascii="Cambria" w:hAnsi="Cambria"/>
          <w:b/>
          <w:bCs/>
          <w:color w:val="0D0D0D"/>
          <w:sz w:val="24"/>
          <w:szCs w:val="24"/>
          <w:shd w:val="clear" w:color="auto" w:fill="FFFFFF"/>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06 – VEÍCULOS UTILITÁRIOS (SEC DE SAÚDE)</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PASSEIO/UTILITÁRIO </w:t>
            </w:r>
            <w:r>
              <w:rPr>
                <w:rFonts w:ascii="Cambria" w:hAnsi="Cambria"/>
                <w:bCs/>
                <w:sz w:val="18"/>
                <w:szCs w:val="18"/>
                <w:lang w:eastAsia="zh-CN"/>
              </w:rPr>
              <w:t>Locação de Veículo Tipo Passeio/Utilitário com no mínimo 1800cc, 04 quatro portas, com arcondicionado, capacidade para 07 sete passageiros, em bom estado de conservação, combustível por conta da contratante, manutenção preventiva e corretiva por conta da contratada Ano mínimo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08</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R$ 6.546,67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R$ 52.373,36</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2</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POPULAR 04 QUATRO PORTAS </w:t>
            </w:r>
            <w:r>
              <w:rPr>
                <w:rFonts w:ascii="Cambria" w:hAnsi="Cambria"/>
                <w:bCs/>
                <w:sz w:val="18"/>
                <w:szCs w:val="18"/>
                <w:lang w:eastAsia="zh-CN"/>
              </w:rPr>
              <w:t>Locação de Veículo Tipo Popular 04 quatro portas, direção hidráulica, arcondicionado, capacidade para 05 cinco passageiros, com no mínimo 1000cc, em bom estado de conservação, combustível por conta da contratante, manutenção preventiva e corretiva por conta da contratada Ano mínimo do veículo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R$ 5.135,00</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R$ 71.890,00</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3</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CABINE SIMPLES – 02 DUAS PORTAS </w:t>
            </w:r>
            <w:r>
              <w:rPr>
                <w:rFonts w:ascii="Cambria" w:hAnsi="Cambria"/>
                <w:bCs/>
                <w:sz w:val="18"/>
                <w:szCs w:val="18"/>
                <w:lang w:eastAsia="zh-CN"/>
              </w:rPr>
              <w:t>Locação de Veículo Utilitário Cabine Simples – 02 duas portas, direção hidráulica, capacidade para 02 dois passageiros, movido a álcool/gasolina, carroceria aberta, arcondicionado, com no mínimo 1400cc, em bom estado de conservação, combustível por conta da contratante, manutenção preventiva e corretiva por conta da contratada Ano mínimo 2016.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R$ 5.231,92</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R$ 10.463,84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4</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SUV – 04 QUATRO PORTAS </w:t>
            </w:r>
            <w:r>
              <w:rPr>
                <w:rFonts w:ascii="Cambria" w:hAnsi="Cambria"/>
                <w:bCs/>
                <w:sz w:val="18"/>
                <w:szCs w:val="18"/>
                <w:lang w:eastAsia="zh-CN"/>
              </w:rPr>
              <w:t>Locação de Veículo Utilitário SUV – 04 quatro portas,</w:t>
            </w:r>
            <w:r>
              <w:rPr>
                <w:sz w:val="18"/>
                <w:szCs w:val="18"/>
                <w:lang w:eastAsia="en-US"/>
              </w:rPr>
              <w:t xml:space="preserve"> </w:t>
            </w:r>
            <w:r>
              <w:rPr>
                <w:rFonts w:ascii="Cambria" w:hAnsi="Cambria"/>
                <w:bCs/>
                <w:sz w:val="18"/>
                <w:szCs w:val="18"/>
                <w:lang w:eastAsia="zh-CN"/>
              </w:rPr>
              <w:t xml:space="preserve">direção hidráulica, câmbio automático, capacidade para 05 cinco passageiros, movido a Diesel, carroceria aberta, arcondicionado, com no mínimo 1.800cc, em bom estado de conservação, combustível por conta da contratante, </w:t>
            </w:r>
            <w:r>
              <w:rPr>
                <w:rFonts w:ascii="Cambria" w:hAnsi="Cambria"/>
                <w:bCs/>
                <w:sz w:val="18"/>
                <w:szCs w:val="18"/>
                <w:lang w:eastAsia="zh-CN"/>
              </w:rPr>
              <w:lastRenderedPageBreak/>
              <w:t>manutenção preventiva e corretiva por conta da contratada. Ano mínimo 2020.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04</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R$ 8.630,16</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R$ 34.520,64</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lastRenderedPageBreak/>
              <w:t>5</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UTILITÁRIO CABINE DUPLA COM NO MÍNIMO 1.400CC </w:t>
            </w:r>
            <w:r>
              <w:rPr>
                <w:rFonts w:ascii="Cambria" w:hAnsi="Cambria"/>
                <w:bCs/>
                <w:sz w:val="18"/>
                <w:szCs w:val="18"/>
                <w:lang w:eastAsia="zh-CN"/>
              </w:rPr>
              <w:t>Locação de Veículo Utilitário Cabine Dupla – com no mínimo 1.400cc, com capacidade mínima para 04 quatro passageiros, movido a álcool/gasolina, com carroceria aberta, com ar-condicionado, em bom estado de conservação, combustível por conta da contratante, manutenção preventiva e corretiva por conta da contratada. Ano mínimo 2016. Prazo de locação: 12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R$ 6.632,48</w:t>
            </w:r>
          </w:p>
          <w:p>
            <w:pPr>
              <w:jc w:val="center"/>
              <w:rPr>
                <w:sz w:val="18"/>
                <w:szCs w:val="18"/>
                <w:lang w:eastAsia="zh-CN"/>
              </w:rPr>
            </w:pP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R$ 13.264,96</w:t>
            </w:r>
          </w:p>
        </w:tc>
      </w:tr>
      <w:tr>
        <w:tc>
          <w:tcPr>
            <w:tcW w:w="5000" w:type="pct"/>
            <w:gridSpan w:val="6"/>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Valor Global: R$ R$ 182.512,80 (Cento e Oitenta e Dois Mil, Quinhentos e Doze Reais e Oitenta Centavos)</w:t>
            </w:r>
          </w:p>
        </w:tc>
      </w:tr>
    </w:tbl>
    <w:p>
      <w:pPr>
        <w:suppressAutoHyphens/>
        <w:jc w:val="both"/>
        <w:rPr>
          <w:rFonts w:ascii="Cambria" w:hAnsi="Cambria"/>
          <w:color w:val="0D0D0D"/>
          <w:sz w:val="24"/>
          <w:szCs w:val="24"/>
          <w:shd w:val="clear" w:color="auto" w:fill="FFFFFF"/>
          <w:lang w:eastAsia="zh-CN"/>
        </w:rPr>
      </w:pPr>
    </w:p>
    <w:tbl>
      <w:tblPr>
        <w:tblStyle w:val="Tabelacomgrade"/>
        <w:tblW w:w="5000" w:type="pct"/>
        <w:tblLook w:val="04A0" w:firstRow="1" w:lastRow="0" w:firstColumn="1" w:lastColumn="0" w:noHBand="0" w:noVBand="1"/>
      </w:tblPr>
      <w:tblGrid>
        <w:gridCol w:w="628"/>
        <w:gridCol w:w="4278"/>
        <w:gridCol w:w="756"/>
        <w:gridCol w:w="881"/>
        <w:gridCol w:w="1258"/>
        <w:gridCol w:w="1259"/>
      </w:tblGrid>
      <w:tr>
        <w:tc>
          <w:tcPr>
            <w:tcW w:w="5000" w:type="pct"/>
            <w:gridSpan w:val="6"/>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GRUPO 07 – VEÍCULOS PESADOS (SEC DE SAÚDE)</w:t>
            </w:r>
          </w:p>
        </w:tc>
      </w:tr>
      <w:tr>
        <w:tc>
          <w:tcPr>
            <w:tcW w:w="347" w:type="pct"/>
            <w:vAlign w:val="center"/>
          </w:tcPr>
          <w:p>
            <w:pPr>
              <w:pStyle w:val="PargrafodaLista"/>
              <w:widowControl w:val="0"/>
              <w:suppressAutoHyphens/>
              <w:autoSpaceDE w:val="0"/>
              <w:autoSpaceDN w:val="0"/>
              <w:ind w:left="0" w:hanging="111"/>
              <w:jc w:val="center"/>
              <w:rPr>
                <w:rFonts w:ascii="Cambria" w:hAnsi="Cambria"/>
                <w:b/>
                <w:sz w:val="18"/>
                <w:szCs w:val="18"/>
                <w:lang w:eastAsia="zh-CN"/>
              </w:rPr>
            </w:pPr>
            <w:r>
              <w:rPr>
                <w:rFonts w:ascii="Cambria" w:hAnsi="Cambria"/>
                <w:b/>
                <w:sz w:val="18"/>
                <w:szCs w:val="18"/>
                <w:lang w:eastAsia="zh-CN"/>
              </w:rPr>
              <w:t>ITEM</w:t>
            </w:r>
          </w:p>
        </w:tc>
        <w:tc>
          <w:tcPr>
            <w:tcW w:w="2361"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ESPECIFICAÇÕES</w:t>
            </w:r>
          </w:p>
        </w:tc>
        <w:tc>
          <w:tcPr>
            <w:tcW w:w="417"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QUANT</w:t>
            </w:r>
          </w:p>
        </w:tc>
        <w:tc>
          <w:tcPr>
            <w:tcW w:w="694" w:type="pct"/>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UNIT</w:t>
            </w:r>
          </w:p>
        </w:tc>
        <w:tc>
          <w:tcPr>
            <w:tcW w:w="695" w:type="pct"/>
          </w:tcPr>
          <w:p>
            <w:pPr>
              <w:pStyle w:val="PargrafodaLista"/>
              <w:widowControl w:val="0"/>
              <w:suppressAutoHyphens/>
              <w:autoSpaceDE w:val="0"/>
              <w:autoSpaceDN w:val="0"/>
              <w:ind w:left="0"/>
              <w:jc w:val="center"/>
              <w:rPr>
                <w:rFonts w:ascii="Cambria" w:hAnsi="Cambria"/>
                <w:b/>
                <w:sz w:val="18"/>
                <w:szCs w:val="18"/>
                <w:lang w:eastAsia="zh-CN"/>
              </w:rPr>
            </w:pPr>
            <w:r>
              <w:rPr>
                <w:rFonts w:ascii="Cambria" w:hAnsi="Cambria"/>
                <w:b/>
                <w:sz w:val="18"/>
                <w:szCs w:val="18"/>
                <w:lang w:eastAsia="zh-CN"/>
              </w:rPr>
              <w:t>VLR TOTAL</w:t>
            </w:r>
          </w:p>
        </w:tc>
      </w:tr>
      <w:t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1</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VAN CAPACIDADE MÍNIMA PARA 16 DEZESSEIS PASSAGEIROS </w:t>
            </w:r>
            <w:r>
              <w:rPr>
                <w:rFonts w:ascii="Cambria" w:hAnsi="Cambria"/>
                <w:bCs/>
                <w:sz w:val="18"/>
                <w:szCs w:val="18"/>
                <w:lang w:eastAsia="zh-CN"/>
              </w:rPr>
              <w:t>Locação de Veículo Tipo VAN capacidade mínima para 16 dezesseis passageiros, com arcondicionado, direção hidráulica, movido a diesel, em bom estado de conservação, combustível por conta da contratante, manutenção preventiva e corretiva por conta da contratada Ano mínimo 2014.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R$ 15.258,00</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R$ 30.516,00</w:t>
            </w:r>
          </w:p>
        </w:tc>
      </w:tr>
      <w:tr>
        <w:trPr>
          <w:trHeight w:val="715"/>
        </w:trPr>
        <w:tc>
          <w:tcPr>
            <w:tcW w:w="34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2</w:t>
            </w:r>
          </w:p>
        </w:tc>
        <w:tc>
          <w:tcPr>
            <w:tcW w:w="2361" w:type="pct"/>
          </w:tcPr>
          <w:p>
            <w:pPr>
              <w:pStyle w:val="PargrafodaLista"/>
              <w:widowControl w:val="0"/>
              <w:suppressAutoHyphens/>
              <w:autoSpaceDE w:val="0"/>
              <w:autoSpaceDN w:val="0"/>
              <w:ind w:left="0"/>
              <w:jc w:val="both"/>
              <w:rPr>
                <w:rFonts w:ascii="Cambria" w:hAnsi="Cambria"/>
                <w:b/>
                <w:sz w:val="18"/>
                <w:szCs w:val="18"/>
                <w:lang w:eastAsia="zh-CN"/>
              </w:rPr>
            </w:pPr>
            <w:r>
              <w:rPr>
                <w:rFonts w:ascii="Cambria" w:hAnsi="Cambria"/>
                <w:b/>
                <w:sz w:val="18"/>
                <w:szCs w:val="18"/>
                <w:lang w:eastAsia="zh-CN"/>
              </w:rPr>
              <w:t xml:space="preserve">LOCAÇÃO DE VEÍCULO TIPO VAN CAPACIDADE MÍNIMA PARA 20 VINTE PASSAGEIROS </w:t>
            </w:r>
            <w:r>
              <w:rPr>
                <w:rFonts w:ascii="Cambria" w:hAnsi="Cambria"/>
                <w:bCs/>
                <w:sz w:val="18"/>
                <w:szCs w:val="18"/>
                <w:lang w:eastAsia="zh-CN"/>
              </w:rPr>
              <w:t>Locação de Veículo Tipo VAN capacidade mínima para 20 vinte passageiros, com arcondicionado, direção hidráulica, movido a diesel, em bom estado de conservação, combustível por conta da contratante, manutenção preventiva e corretiva por conta da contratada Ano mínimo 2014. Por 12 (doze) meses.</w:t>
            </w:r>
          </w:p>
        </w:tc>
        <w:tc>
          <w:tcPr>
            <w:tcW w:w="417"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UND</w:t>
            </w:r>
          </w:p>
        </w:tc>
        <w:tc>
          <w:tcPr>
            <w:tcW w:w="486"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02</w:t>
            </w:r>
          </w:p>
        </w:tc>
        <w:tc>
          <w:tcPr>
            <w:tcW w:w="694"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R$ 16.015,67</w:t>
            </w:r>
          </w:p>
        </w:tc>
        <w:tc>
          <w:tcPr>
            <w:tcW w:w="695" w:type="pct"/>
            <w:vAlign w:val="center"/>
          </w:tcPr>
          <w:p>
            <w:pPr>
              <w:pStyle w:val="PargrafodaLista"/>
              <w:widowControl w:val="0"/>
              <w:suppressAutoHyphens/>
              <w:autoSpaceDE w:val="0"/>
              <w:autoSpaceDN w:val="0"/>
              <w:ind w:left="0"/>
              <w:jc w:val="center"/>
              <w:rPr>
                <w:rFonts w:ascii="Cambria" w:hAnsi="Cambria"/>
                <w:bCs/>
                <w:sz w:val="18"/>
                <w:szCs w:val="18"/>
                <w:lang w:eastAsia="zh-CN"/>
              </w:rPr>
            </w:pPr>
            <w:r>
              <w:rPr>
                <w:rFonts w:ascii="Cambria" w:hAnsi="Cambria"/>
                <w:bCs/>
                <w:sz w:val="18"/>
                <w:szCs w:val="18"/>
                <w:lang w:eastAsia="zh-CN"/>
              </w:rPr>
              <w:t>R$ 32.031,34</w:t>
            </w:r>
          </w:p>
        </w:tc>
      </w:tr>
      <w:tr>
        <w:trPr>
          <w:trHeight w:val="374"/>
        </w:trPr>
        <w:tc>
          <w:tcPr>
            <w:tcW w:w="5000" w:type="pct"/>
            <w:gridSpan w:val="6"/>
            <w:vAlign w:val="center"/>
          </w:tcPr>
          <w:p>
            <w:pPr>
              <w:pStyle w:val="PargrafodaLista"/>
              <w:widowControl w:val="0"/>
              <w:suppressAutoHyphens/>
              <w:autoSpaceDE w:val="0"/>
              <w:autoSpaceDN w:val="0"/>
              <w:ind w:left="0"/>
              <w:jc w:val="both"/>
              <w:rPr>
                <w:rFonts w:ascii="Cambria" w:hAnsi="Cambria"/>
                <w:bCs/>
                <w:sz w:val="18"/>
                <w:szCs w:val="18"/>
                <w:lang w:eastAsia="zh-CN"/>
              </w:rPr>
            </w:pPr>
            <w:r>
              <w:rPr>
                <w:rFonts w:ascii="Cambria" w:hAnsi="Cambria"/>
                <w:bCs/>
                <w:sz w:val="18"/>
                <w:szCs w:val="18"/>
                <w:lang w:eastAsia="zh-CN"/>
              </w:rPr>
              <w:t>Valor Global: R$ 62.547,34 (Sessenta e Dois Mil, Quinhentos e Quarenta e Sete Reais e Trinta e Quatro Centavos)</w:t>
            </w:r>
          </w:p>
        </w:tc>
      </w:tr>
    </w:tbl>
    <w:p>
      <w:pPr>
        <w:suppressAutoHyphens/>
        <w:jc w:val="both"/>
        <w:rPr>
          <w:rFonts w:ascii="Cambria" w:hAnsi="Cambria"/>
          <w:b/>
          <w:bCs/>
          <w:color w:val="0D0D0D"/>
          <w:sz w:val="24"/>
          <w:szCs w:val="24"/>
          <w:shd w:val="clear" w:color="auto" w:fill="FFFFFF"/>
          <w:lang w:eastAsia="zh-CN"/>
        </w:rPr>
      </w:pPr>
    </w:p>
    <w:p>
      <w:pPr>
        <w:suppressAutoHyphens/>
        <w:jc w:val="both"/>
        <w:rPr>
          <w:rFonts w:ascii="Cambria" w:hAnsi="Cambria"/>
          <w:b/>
          <w:sz w:val="24"/>
          <w:szCs w:val="24"/>
          <w:lang w:eastAsia="zh-CN"/>
        </w:rPr>
      </w:pPr>
      <w:r>
        <w:rPr>
          <w:rFonts w:ascii="Cambria" w:hAnsi="Cambria"/>
          <w:b/>
          <w:bCs/>
          <w:color w:val="0D0D0D"/>
          <w:sz w:val="24"/>
          <w:szCs w:val="24"/>
          <w:shd w:val="clear" w:color="auto" w:fill="FFFFFF"/>
          <w:lang w:eastAsia="zh-CN"/>
        </w:rPr>
        <w:t>VALOR GLOBAL ESTIMADO</w:t>
      </w:r>
      <w:r>
        <w:rPr>
          <w:rFonts w:ascii="Cambria" w:hAnsi="Cambria"/>
          <w:color w:val="0D0D0D"/>
          <w:sz w:val="24"/>
          <w:szCs w:val="24"/>
          <w:shd w:val="clear" w:color="auto" w:fill="FFFFFF"/>
          <w:lang w:eastAsia="zh-CN"/>
        </w:rPr>
        <w:t>: R$ 758.339,35 (setecentos e cinquenta e oito mil, trezentos e trinta e nove reais e trinta e cinco centavos).</w:t>
      </w:r>
      <w:r>
        <w:rPr>
          <w:rFonts w:ascii="Cambria" w:hAnsi="Cambria"/>
          <w:b/>
          <w:sz w:val="24"/>
          <w:szCs w:val="24"/>
          <w:lang w:eastAsia="zh-CN"/>
        </w:rPr>
        <w:br w:type="page"/>
      </w:r>
    </w:p>
    <w:p>
      <w:pPr>
        <w:suppressAutoHyphens/>
        <w:jc w:val="center"/>
        <w:rPr>
          <w:rFonts w:ascii="Cambria" w:hAnsi="Cambria"/>
          <w:b/>
          <w:sz w:val="24"/>
          <w:szCs w:val="24"/>
          <w:lang w:eastAsia="zh-CN"/>
        </w:rPr>
      </w:pPr>
      <w:r>
        <w:rPr>
          <w:rFonts w:ascii="Cambria" w:hAnsi="Cambria"/>
          <w:b/>
          <w:sz w:val="24"/>
          <w:szCs w:val="24"/>
          <w:lang w:eastAsia="zh-CN"/>
        </w:rPr>
        <w:lastRenderedPageBreak/>
        <w:t>ANEXO II – RELAÇÃO DOS DOCUMENTOS DE HABILITAÇÃO</w:t>
      </w:r>
    </w:p>
    <w:p>
      <w:pPr>
        <w:suppressAutoHyphens/>
        <w:spacing w:line="276" w:lineRule="auto"/>
        <w:jc w:val="center"/>
        <w:rPr>
          <w:rFonts w:ascii="Cambria" w:hAnsi="Cambria"/>
          <w:b/>
          <w:sz w:val="24"/>
          <w:szCs w:val="24"/>
          <w:lang w:eastAsia="zh-CN"/>
        </w:rPr>
      </w:pPr>
    </w:p>
    <w:p>
      <w:pPr>
        <w:tabs>
          <w:tab w:val="left" w:pos="426"/>
        </w:tabs>
        <w:suppressAutoHyphens/>
        <w:spacing w:line="276" w:lineRule="auto"/>
        <w:jc w:val="both"/>
        <w:rPr>
          <w:rFonts w:ascii="Cambria" w:hAnsi="Cambria"/>
          <w:sz w:val="24"/>
          <w:szCs w:val="24"/>
          <w:lang w:eastAsia="zh-CN"/>
        </w:rPr>
      </w:pPr>
      <w:r>
        <w:rPr>
          <w:rFonts w:ascii="Cambria" w:hAnsi="Cambria"/>
          <w:sz w:val="24"/>
          <w:szCs w:val="24"/>
          <w:lang w:eastAsia="zh-CN"/>
        </w:rPr>
        <w:t>Para fins de licitação, o(s) licitante(s) deverão comprovar o atendimento aos seguintes requisitos:</w:t>
      </w:r>
    </w:p>
    <w:p>
      <w:pPr>
        <w:numPr>
          <w:ilvl w:val="0"/>
          <w:numId w:val="59"/>
        </w:numPr>
        <w:tabs>
          <w:tab w:val="left" w:pos="426"/>
          <w:tab w:val="left" w:pos="851"/>
        </w:tabs>
        <w:suppressAutoHyphens/>
        <w:spacing w:line="276" w:lineRule="auto"/>
        <w:contextualSpacing/>
        <w:rPr>
          <w:rFonts w:ascii="Cambria" w:hAnsi="Cambria"/>
          <w:b/>
          <w:bCs/>
          <w:sz w:val="24"/>
          <w:szCs w:val="24"/>
          <w:lang w:eastAsia="zh-CN"/>
        </w:rPr>
      </w:pPr>
      <w:r>
        <w:rPr>
          <w:rFonts w:ascii="Cambria" w:hAnsi="Cambria"/>
          <w:b/>
          <w:bCs/>
          <w:sz w:val="24"/>
          <w:szCs w:val="24"/>
          <w:lang w:eastAsia="zh-CN"/>
        </w:rPr>
        <w:t>Habilitação fiscal, social e trabalhista</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Prova de inscrição no Cadastro Nacional de Pessoas Jurídicas (CNPJ);</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Prova de inscrição no cadastro de contribuintes estadual e/ou municipal, se houver, relativo ao domicílio ou sede do licitante, pertinente ao seu ramo de atividade e compatível com o objeto contratual;</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Prova de regularidade com a Fazenda federal, estadual e municipal do domicílio ou sede do licitante, ou outra equivalente, na forma da lei;</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Prova de regularidade relativa à Seguridade Social e ao FGTS, que demonstre cumprimento dos encargos sociais instituídos por lei;</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Prova de regularidade perante a Justiça do Trabalho (Mediante a apresentação de certidão negativa ou positiva com efeito de negativa, nos termos do Título VII-A da Consolidação das Leis do Trabalho, aprovada pelo Decreto-Lei nº 5.452, de 1º de maio de 1943).</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numPr>
          <w:ilvl w:val="1"/>
          <w:numId w:val="59"/>
        </w:numPr>
        <w:tabs>
          <w:tab w:val="left" w:pos="426"/>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tabs>
          <w:tab w:val="left" w:pos="426"/>
        </w:tabs>
        <w:suppressAutoHyphens/>
        <w:spacing w:line="276" w:lineRule="auto"/>
        <w:ind w:left="360"/>
        <w:contextualSpacing/>
        <w:jc w:val="both"/>
        <w:rPr>
          <w:rFonts w:ascii="Cambria" w:hAnsi="Cambria"/>
          <w:bCs/>
          <w:sz w:val="24"/>
          <w:szCs w:val="24"/>
          <w:lang w:eastAsia="zh-CN"/>
        </w:rPr>
      </w:pPr>
    </w:p>
    <w:p>
      <w:pPr>
        <w:numPr>
          <w:ilvl w:val="0"/>
          <w:numId w:val="59"/>
        </w:numPr>
        <w:tabs>
          <w:tab w:val="left" w:pos="426"/>
          <w:tab w:val="left" w:pos="567"/>
          <w:tab w:val="left" w:pos="851"/>
        </w:tabs>
        <w:suppressAutoHyphens/>
        <w:spacing w:line="276" w:lineRule="auto"/>
        <w:ind w:left="0" w:firstLine="0"/>
        <w:contextualSpacing/>
        <w:rPr>
          <w:rFonts w:ascii="Cambria" w:hAnsi="Cambria"/>
          <w:b/>
          <w:bCs/>
          <w:sz w:val="24"/>
          <w:szCs w:val="24"/>
          <w:lang w:eastAsia="zh-CN"/>
        </w:rPr>
      </w:pPr>
      <w:r>
        <w:rPr>
          <w:rFonts w:ascii="Cambria" w:hAnsi="Cambria"/>
          <w:b/>
          <w:bCs/>
          <w:sz w:val="24"/>
          <w:szCs w:val="24"/>
          <w:lang w:eastAsia="zh-CN"/>
        </w:rPr>
        <w:t>Qualificação Econômico-Financeira</w:t>
      </w:r>
    </w:p>
    <w:p>
      <w:pPr>
        <w:numPr>
          <w:ilvl w:val="1"/>
          <w:numId w:val="59"/>
        </w:numPr>
        <w:tabs>
          <w:tab w:val="left" w:pos="426"/>
          <w:tab w:val="left" w:pos="567"/>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Balanço patrimonial, demonstração de resultado de exercício e demais demonstrações contábeis dos 2 (dois) últimos exercícios sociais (já exigíveis e apresentados na forma da lei, devidamente registrado no órgão competente de origem). Entende-se que a expressão “na forma da lei” constante nesse item c.1, engloba no mínimo Balanço Patrimonial, DRE – Demonstração do Resultado do Exercício, DLPA - Demonstração de Lucros e Perdas acumulados, devidamente registradas na junta comercial da sede da licitante. Termos de abertura e de encerramento, devidamente registrado ou protocolado na junta comercial da sede da licitante. As cópias deverão ser originárias do Livro Diário devidamente formalizado e registrado.</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tabs>
          <w:tab w:val="left" w:pos="426"/>
          <w:tab w:val="left" w:pos="567"/>
          <w:tab w:val="left" w:pos="851"/>
        </w:tabs>
        <w:suppressAutoHyphens/>
        <w:jc w:val="both"/>
        <w:rPr>
          <w:rFonts w:ascii="Cambria" w:hAnsi="Cambria"/>
          <w:bCs/>
          <w:sz w:val="24"/>
          <w:szCs w:val="24"/>
          <w:lang w:eastAsia="zh-CN"/>
        </w:rPr>
      </w:pPr>
      <w:r>
        <w:rPr>
          <w:rFonts w:ascii="Cambria" w:hAnsi="Cambria"/>
          <w:bCs/>
          <w:sz w:val="24"/>
          <w:szCs w:val="24"/>
          <w:lang w:eastAsia="zh-CN"/>
        </w:rPr>
        <w:lastRenderedPageBreak/>
        <w:t>I - Liquidez Geral (LG) = (Ativo Circulante + Realizável a Longo Prazo)/( Passivo Circulante + Passivo Não Circulante);</w:t>
      </w:r>
    </w:p>
    <w:p>
      <w:pPr>
        <w:tabs>
          <w:tab w:val="left" w:pos="426"/>
          <w:tab w:val="left" w:pos="567"/>
          <w:tab w:val="left" w:pos="851"/>
        </w:tabs>
        <w:suppressAutoHyphens/>
        <w:contextualSpacing/>
        <w:jc w:val="both"/>
        <w:rPr>
          <w:rFonts w:ascii="Cambria" w:hAnsi="Cambria"/>
          <w:bCs/>
          <w:sz w:val="24"/>
          <w:szCs w:val="24"/>
          <w:lang w:eastAsia="zh-CN"/>
        </w:rPr>
      </w:pPr>
      <w:r>
        <w:rPr>
          <w:rFonts w:ascii="Cambria" w:hAnsi="Cambria"/>
          <w:bCs/>
          <w:sz w:val="24"/>
          <w:szCs w:val="24"/>
          <w:lang w:eastAsia="zh-CN"/>
        </w:rPr>
        <w:t>II - Solvência Geral (SG)= (Ativo Total)/(Passivo Circulante +Passivo não Circulante); e</w:t>
      </w:r>
    </w:p>
    <w:p>
      <w:pPr>
        <w:tabs>
          <w:tab w:val="left" w:pos="426"/>
          <w:tab w:val="left" w:pos="567"/>
          <w:tab w:val="left" w:pos="851"/>
        </w:tabs>
        <w:suppressAutoHyphens/>
        <w:contextualSpacing/>
        <w:jc w:val="both"/>
        <w:rPr>
          <w:rFonts w:ascii="Cambria" w:hAnsi="Cambria"/>
          <w:bCs/>
          <w:sz w:val="24"/>
          <w:szCs w:val="24"/>
          <w:lang w:eastAsia="zh-CN"/>
        </w:rPr>
      </w:pPr>
      <w:r>
        <w:rPr>
          <w:rFonts w:ascii="Cambria" w:hAnsi="Cambria"/>
          <w:bCs/>
          <w:sz w:val="24"/>
          <w:szCs w:val="24"/>
          <w:lang w:eastAsia="zh-CN"/>
        </w:rPr>
        <w:t>III - Liquidez Corrente (LC) = (Ativo Circulante)/(Passivo Circulante).</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 xml:space="preserve">Caso a empresa licitante apresente resultado inferior ou igual a 1 (um) em qualquer dos índices de Liquidez Geral (LG), Solvência Geral (SG) e Liquidez Corrente (LC), será exigido para fins de habilitação capital mínimo OU patrimônio líquido mínimo de até 10% do valor total estimado da contratação. </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As empresas criadas no exercício financeiro da licitação deverão atender a todas as exigências da habilitação e poderão substituir os demonstrativos contábeis pelo balanço de abertura. (Lei nº 14.133, de 2021, art. 65, §1º).</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balanço patrimonial, demonstração de resultado de exercício e demais demonstrações contábeis limitar-se-ão ao último exercício no caso de a pessoa jurídica ter sido constituída há menos de 2 (dois) anos. (Lei nº 14.133, de 2021, art. 69, §6º).</w:t>
      </w:r>
    </w:p>
    <w:p>
      <w:pPr>
        <w:numPr>
          <w:ilvl w:val="1"/>
          <w:numId w:val="59"/>
        </w:numPr>
        <w:tabs>
          <w:tab w:val="left" w:pos="426"/>
          <w:tab w:val="left" w:pos="567"/>
          <w:tab w:val="left" w:pos="851"/>
        </w:tabs>
        <w:suppressAutoHyphens/>
        <w:spacing w:line="276" w:lineRule="auto"/>
        <w:ind w:left="0" w:firstLine="0"/>
        <w:contextualSpacing/>
        <w:jc w:val="both"/>
        <w:rPr>
          <w:rFonts w:ascii="Cambria" w:hAnsi="Cambria"/>
          <w:bCs/>
          <w:sz w:val="24"/>
          <w:szCs w:val="24"/>
          <w:lang w:eastAsia="zh-CN"/>
        </w:rPr>
      </w:pPr>
      <w:r>
        <w:rPr>
          <w:rFonts w:ascii="Cambria" w:hAnsi="Cambria"/>
          <w:bCs/>
          <w:sz w:val="24"/>
          <w:szCs w:val="24"/>
          <w:lang w:eastAsia="zh-CN"/>
        </w:rPr>
        <w:t>O atendimento dos índices econômicos previstos neste item deverá ser atestado mediante declaração assinada por profissional habilitado da área contábil, apresentada pelo fornecedor.</w:t>
      </w:r>
    </w:p>
    <w:p>
      <w:pPr>
        <w:tabs>
          <w:tab w:val="left" w:pos="426"/>
          <w:tab w:val="left" w:pos="567"/>
          <w:tab w:val="left" w:pos="851"/>
        </w:tabs>
        <w:suppressAutoHyphens/>
        <w:spacing w:line="276" w:lineRule="auto"/>
        <w:contextualSpacing/>
        <w:jc w:val="both"/>
        <w:rPr>
          <w:rFonts w:ascii="Cambria" w:hAnsi="Cambria"/>
          <w:bCs/>
          <w:sz w:val="24"/>
          <w:szCs w:val="24"/>
          <w:lang w:eastAsia="zh-CN"/>
        </w:rPr>
      </w:pPr>
    </w:p>
    <w:p>
      <w:pPr>
        <w:tabs>
          <w:tab w:val="left" w:pos="426"/>
          <w:tab w:val="left" w:pos="567"/>
          <w:tab w:val="left" w:pos="851"/>
        </w:tabs>
        <w:suppressAutoHyphens/>
        <w:autoSpaceDE w:val="0"/>
        <w:autoSpaceDN w:val="0"/>
        <w:adjustRightInd w:val="0"/>
        <w:contextualSpacing/>
        <w:jc w:val="both"/>
        <w:rPr>
          <w:rFonts w:ascii="Cambria" w:hAnsi="Cambria"/>
          <w:b/>
          <w:sz w:val="24"/>
          <w:szCs w:val="24"/>
          <w:lang w:eastAsia="zh-CN"/>
        </w:rPr>
      </w:pPr>
      <w:r>
        <w:rPr>
          <w:rFonts w:ascii="Cambria" w:hAnsi="Cambria"/>
          <w:b/>
          <w:sz w:val="24"/>
          <w:szCs w:val="24"/>
          <w:lang w:eastAsia="zh-CN"/>
        </w:rPr>
        <w:t>c. RELATIVA À QUALIFICAÇÃO TÉCNICA OPERACIONAL</w:t>
      </w:r>
    </w:p>
    <w:p>
      <w:pPr>
        <w:jc w:val="both"/>
        <w:rPr>
          <w:rFonts w:ascii="Cambria" w:hAnsi="Cambria"/>
          <w:b/>
          <w:sz w:val="24"/>
          <w:szCs w:val="24"/>
        </w:rPr>
      </w:pPr>
      <w:r>
        <w:rPr>
          <w:rFonts w:ascii="Cambria" w:hAnsi="Cambria"/>
          <w:sz w:val="24"/>
          <w:szCs w:val="24"/>
          <w:lang w:eastAsia="zh-CN"/>
        </w:rPr>
        <w:t xml:space="preserve">c.1. </w:t>
      </w:r>
      <w:r>
        <w:rPr>
          <w:rFonts w:ascii="Cambria" w:hAnsi="Cambria"/>
          <w:b/>
          <w:sz w:val="24"/>
          <w:szCs w:val="24"/>
        </w:rPr>
        <w:t>Comprovação de Registro junto a Agência Reguladora dos Serviços Públicos Delegados do Estado ou órgão equivalente da sede da licitante (Ex: ARCE, para os licitantes sediados no Ceará).</w:t>
      </w:r>
    </w:p>
    <w:p>
      <w:pPr>
        <w:jc w:val="both"/>
        <w:rPr>
          <w:rFonts w:ascii="Cambria" w:hAnsi="Cambria"/>
          <w:sz w:val="24"/>
          <w:szCs w:val="24"/>
        </w:rPr>
      </w:pPr>
      <w:r>
        <w:rPr>
          <w:rFonts w:ascii="Cambria" w:hAnsi="Cambria"/>
          <w:sz w:val="24"/>
          <w:szCs w:val="24"/>
        </w:rPr>
        <w:t xml:space="preserve">c.2. Comprovação de aptidão para a execução dos serviços em características, quantidades e prazos compatíveis com o objeto desta licitação, por meio da apresentação de atestado(s) fornecido(s) por pessoa(s) jurídica(s) de direito público ou privado. </w:t>
      </w:r>
    </w:p>
    <w:p>
      <w:pPr>
        <w:jc w:val="both"/>
        <w:rPr>
          <w:rFonts w:ascii="Cambria" w:hAnsi="Cambria"/>
          <w:sz w:val="24"/>
          <w:szCs w:val="24"/>
        </w:rPr>
      </w:pPr>
      <w:r>
        <w:rPr>
          <w:rFonts w:ascii="Cambria" w:hAnsi="Cambria"/>
          <w:sz w:val="24"/>
          <w:szCs w:val="24"/>
        </w:rPr>
        <w:t xml:space="preserve">C.3. Para fins da comprovação de aptidão para a execução dos serviços, o(s) atestado(s) deverá(ão) dizer respeito a contrato(s) executado(s) com as seguintes características mínimas: </w:t>
      </w:r>
    </w:p>
    <w:p>
      <w:pPr>
        <w:jc w:val="both"/>
        <w:rPr>
          <w:rFonts w:ascii="Cambria" w:hAnsi="Cambria"/>
          <w:sz w:val="24"/>
          <w:szCs w:val="24"/>
        </w:rPr>
      </w:pPr>
      <w:r>
        <w:rPr>
          <w:rFonts w:ascii="Cambria" w:hAnsi="Cambria"/>
          <w:sz w:val="24"/>
          <w:szCs w:val="24"/>
        </w:rPr>
        <w:t>c.4. Deverá haver a comprovação da experiência mínima de 01 (um) ano na prestação dos serviços;</w:t>
      </w:r>
    </w:p>
    <w:p>
      <w:pPr>
        <w:jc w:val="both"/>
        <w:rPr>
          <w:rFonts w:ascii="Cambria" w:hAnsi="Cambria"/>
          <w:sz w:val="24"/>
          <w:szCs w:val="24"/>
        </w:rPr>
      </w:pPr>
      <w:r>
        <w:rPr>
          <w:rFonts w:ascii="Cambria" w:hAnsi="Cambria"/>
          <w:sz w:val="24"/>
          <w:szCs w:val="24"/>
        </w:rPr>
        <w:t xml:space="preserve">c.5. Será aceito o somatório de atestados para a aferição da compatibilidade em períodos diferentes, não havendo obrigatoriedade da referida experiência ser ininterrupta; </w:t>
      </w:r>
    </w:p>
    <w:p>
      <w:pPr>
        <w:jc w:val="both"/>
        <w:rPr>
          <w:rFonts w:ascii="Cambria" w:hAnsi="Cambria"/>
          <w:sz w:val="24"/>
          <w:szCs w:val="24"/>
        </w:rPr>
      </w:pPr>
      <w:r>
        <w:rPr>
          <w:rFonts w:ascii="Cambria" w:hAnsi="Cambria"/>
          <w:sz w:val="24"/>
          <w:szCs w:val="24"/>
        </w:rPr>
        <w:t xml:space="preserve">c.6. O(s) atestado(s) deverá(ão) referir-se a serviços prestados no âmbito de sua atividade econômica principal ou secundária, especificadas no contrato social vigente; </w:t>
      </w:r>
    </w:p>
    <w:p>
      <w:pPr>
        <w:jc w:val="both"/>
        <w:rPr>
          <w:rFonts w:ascii="Cambria" w:hAnsi="Cambria"/>
          <w:sz w:val="24"/>
          <w:szCs w:val="24"/>
        </w:rPr>
      </w:pPr>
      <w:r>
        <w:rPr>
          <w:rFonts w:ascii="Cambria" w:hAnsi="Cambria"/>
          <w:sz w:val="24"/>
          <w:szCs w:val="24"/>
        </w:rPr>
        <w:t xml:space="preserve">c.7. Caso o(s) atestado(s) não explicite com clareza as informações relacionadas aos serviços prestados, este(s) deverá(ão) ser acompanhado(s) do(s) respectivo(s) contrato(s) ou instrumento congênere que comprove o objeto da contratação; </w:t>
      </w:r>
    </w:p>
    <w:p>
      <w:pPr>
        <w:jc w:val="both"/>
        <w:rPr>
          <w:rFonts w:ascii="Cambria" w:hAnsi="Cambria"/>
          <w:sz w:val="24"/>
          <w:szCs w:val="24"/>
        </w:rPr>
      </w:pPr>
      <w:r>
        <w:rPr>
          <w:rFonts w:ascii="Cambria" w:hAnsi="Cambria"/>
          <w:sz w:val="24"/>
          <w:szCs w:val="24"/>
        </w:rPr>
        <w:t xml:space="preserve">c.8. O(s) atestado(s) deverá(ão) conter a identificação da pessoa jurídica emitente, bem como, a identificação do responsável emissor; </w:t>
      </w:r>
    </w:p>
    <w:p>
      <w:pPr>
        <w:jc w:val="both"/>
        <w:rPr>
          <w:rFonts w:ascii="Cambria" w:hAnsi="Cambria"/>
          <w:sz w:val="24"/>
          <w:szCs w:val="24"/>
        </w:rPr>
      </w:pPr>
      <w:r>
        <w:rPr>
          <w:rFonts w:ascii="Cambria" w:hAnsi="Cambria"/>
          <w:sz w:val="24"/>
          <w:szCs w:val="24"/>
        </w:rPr>
        <w:lastRenderedPageBreak/>
        <w:t>c.9. Somente serão aceitos atestados expedidos após a conclusão do contrato ou se decorrido, pelo menos, um ano do início de sua execução, exceto se firmado para ser executado em prazo inferior, para efeito de somatório de experiência.</w:t>
      </w:r>
    </w:p>
    <w:p>
      <w:pPr>
        <w:jc w:val="both"/>
        <w:rPr>
          <w:rFonts w:ascii="Cambria" w:hAnsi="Cambria"/>
          <w:sz w:val="24"/>
          <w:szCs w:val="24"/>
        </w:rPr>
      </w:pPr>
      <w:r>
        <w:rPr>
          <w:rFonts w:ascii="Cambria" w:hAnsi="Cambria"/>
          <w:sz w:val="24"/>
          <w:szCs w:val="24"/>
        </w:rPr>
        <w:t>c.10. Declaração Formal de disponibilidade de veículos que comporão a frota para a execução dos serviços, conforme do que consta no modelo de declaração aneхо а este edital.</w:t>
      </w:r>
    </w:p>
    <w:p>
      <w:pPr>
        <w:jc w:val="both"/>
        <w:rPr>
          <w:rFonts w:ascii="Cambria" w:hAnsi="Cambria"/>
          <w:sz w:val="24"/>
          <w:szCs w:val="24"/>
        </w:rPr>
      </w:pPr>
      <w:r>
        <w:rPr>
          <w:rFonts w:ascii="Cambria" w:hAnsi="Cambria"/>
          <w:sz w:val="24"/>
          <w:szCs w:val="24"/>
        </w:rPr>
        <w:t>c.11. Em caso de sublocação do(s) veículo(s), no limite estabelecido pela administração, deverá ser apresentada declaração de compromisso de sublocação, conforme do que consta no modelo de declaração anexo a este edital.</w:t>
      </w:r>
    </w:p>
    <w:p>
      <w:pPr>
        <w:spacing w:after="160" w:line="259" w:lineRule="auto"/>
        <w:rPr>
          <w:rFonts w:ascii="Cambria" w:hAnsi="Cambria"/>
          <w:sz w:val="24"/>
          <w:szCs w:val="24"/>
        </w:rPr>
      </w:pPr>
      <w:r>
        <w:rPr>
          <w:rFonts w:ascii="Cambria" w:hAnsi="Cambria"/>
          <w:sz w:val="24"/>
          <w:szCs w:val="24"/>
        </w:rPr>
        <w:br w:type="page"/>
      </w:r>
    </w:p>
    <w:p>
      <w:pPr>
        <w:shd w:val="clear" w:color="auto" w:fill="E7E6E6" w:themeFill="background2"/>
        <w:spacing w:after="200" w:line="276" w:lineRule="auto"/>
        <w:jc w:val="center"/>
        <w:rPr>
          <w:rFonts w:ascii="Cambria" w:eastAsia="Calibri" w:hAnsi="Cambria"/>
          <w:b/>
          <w:sz w:val="24"/>
          <w:szCs w:val="24"/>
        </w:rPr>
      </w:pPr>
      <w:r>
        <w:rPr>
          <w:rFonts w:ascii="Cambria" w:eastAsia="Calibri" w:hAnsi="Cambria"/>
          <w:b/>
          <w:sz w:val="24"/>
          <w:szCs w:val="24"/>
        </w:rPr>
        <w:lastRenderedPageBreak/>
        <w:t xml:space="preserve">APÊNDICE DO ANEXO I - ESTUDO TÉCNICO PRELIMINAR – ETP </w:t>
      </w:r>
    </w:p>
    <w:p>
      <w:pPr>
        <w:tabs>
          <w:tab w:val="left" w:pos="284"/>
        </w:tabs>
        <w:spacing w:line="276" w:lineRule="auto"/>
        <w:jc w:val="both"/>
        <w:rPr>
          <w:rFonts w:ascii="Cambria" w:eastAsia="Calibri" w:hAnsi="Cambria"/>
          <w:b/>
          <w:sz w:val="24"/>
          <w:szCs w:val="24"/>
        </w:rPr>
      </w:pPr>
    </w:p>
    <w:p>
      <w:pPr>
        <w:numPr>
          <w:ilvl w:val="0"/>
          <w:numId w:val="24"/>
        </w:numPr>
        <w:tabs>
          <w:tab w:val="left" w:pos="284"/>
        </w:tabs>
        <w:spacing w:line="276" w:lineRule="auto"/>
        <w:ind w:left="0" w:firstLine="0"/>
        <w:jc w:val="both"/>
        <w:rPr>
          <w:rFonts w:ascii="Cambria" w:eastAsia="Calibri" w:hAnsi="Cambria"/>
          <w:b/>
          <w:sz w:val="24"/>
          <w:szCs w:val="24"/>
        </w:rPr>
      </w:pPr>
      <w:r>
        <w:rPr>
          <w:rFonts w:ascii="Cambria" w:eastAsia="Calibri" w:hAnsi="Cambria"/>
          <w:b/>
          <w:sz w:val="24"/>
          <w:szCs w:val="24"/>
        </w:rPr>
        <w:t>DESCRIÇÃO DA NECESSIDADE DA CONTRATAÇÃO, CONSIDERADO O PROBLEMA A SER RESOLVIDO SOB A PERSPECTIVA DO INTERESSE PÚBLICO;</w:t>
      </w:r>
    </w:p>
    <w:p>
      <w:pPr>
        <w:ind w:firstLine="708"/>
        <w:jc w:val="both"/>
        <w:rPr>
          <w:rFonts w:ascii="Cambria" w:hAnsi="Cambria"/>
          <w:sz w:val="24"/>
          <w:szCs w:val="24"/>
          <w:lang w:eastAsia="pt-BR"/>
        </w:rPr>
      </w:pPr>
      <w:r>
        <w:rPr>
          <w:rFonts w:ascii="Cambria" w:hAnsi="Cambria"/>
          <w:sz w:val="24"/>
          <w:szCs w:val="24"/>
          <w:lang w:eastAsia="pt-BR"/>
        </w:rPr>
        <w:t>A presente contratação tem por objetivo suprir a necessidade de disponibilização de veículos para atender às demandas operacionais, administrativas e institucionais das diversas Secretarias do Município de Miraíma/CE, garantindo o adequado desempenho das atividades públicas e a continuidade dos serviços prestados à população.</w:t>
      </w:r>
    </w:p>
    <w:p>
      <w:pPr>
        <w:ind w:firstLine="708"/>
        <w:jc w:val="both"/>
        <w:rPr>
          <w:rFonts w:ascii="Cambria" w:hAnsi="Cambria"/>
          <w:sz w:val="24"/>
          <w:szCs w:val="24"/>
          <w:lang w:eastAsia="pt-BR"/>
        </w:rPr>
      </w:pPr>
      <w:r>
        <w:rPr>
          <w:rFonts w:ascii="Cambria" w:hAnsi="Cambria"/>
          <w:sz w:val="24"/>
          <w:szCs w:val="24"/>
          <w:lang w:eastAsia="pt-BR"/>
        </w:rPr>
        <w:t>A Administração Municipal necessita de uma frota diversificada para atender às especificidades de cada órgão, abrangendo o transporte de servidores, equipes técnicas, materiais, equipamentos, estudantes, pacientes, além da execução de atividades de fiscalização, acompanhamento de obras, manutenção de vias públicas, abastecimento de água em comunidades, assistência ao produtor rural e demais ações inerentes às competências das Secretarias Municipais.</w:t>
      </w:r>
    </w:p>
    <w:p>
      <w:pPr>
        <w:ind w:firstLine="708"/>
        <w:jc w:val="both"/>
        <w:rPr>
          <w:rFonts w:ascii="Cambria" w:hAnsi="Cambria"/>
          <w:sz w:val="24"/>
          <w:szCs w:val="24"/>
          <w:lang w:eastAsia="pt-BR"/>
        </w:rPr>
      </w:pPr>
      <w:r>
        <w:rPr>
          <w:rFonts w:ascii="Cambria" w:hAnsi="Cambria"/>
          <w:sz w:val="24"/>
          <w:szCs w:val="24"/>
          <w:lang w:eastAsia="pt-BR"/>
        </w:rPr>
        <w:t>A insuficiência ou indisponibilidade de veículos próprios em quantidade e características adequadas compromete diretamente a eficiência da gestão pública, podendo ocasionar atrasos na execução de serviços essenciais, dificuldades no deslocamento das equipes de trabalho, prejuízos ao atendimento da população e riscos à continuidade de programas e ações governamentais.</w:t>
      </w:r>
    </w:p>
    <w:p>
      <w:pPr>
        <w:ind w:firstLine="708"/>
        <w:jc w:val="both"/>
        <w:rPr>
          <w:rFonts w:ascii="Cambria" w:hAnsi="Cambria"/>
          <w:sz w:val="24"/>
          <w:szCs w:val="24"/>
          <w:lang w:eastAsia="pt-BR"/>
        </w:rPr>
      </w:pPr>
      <w:r>
        <w:rPr>
          <w:rFonts w:ascii="Cambria" w:hAnsi="Cambria"/>
          <w:sz w:val="24"/>
          <w:szCs w:val="24"/>
          <w:lang w:eastAsia="pt-BR"/>
        </w:rPr>
        <w:t>Destaca-se que as Secretarias Municipais possuem demandas distintas, exigindo veículos de diferentes portes e capacidades, tais como automóveis populares, veículos utilitários, caminhonetes, SUVs, vans, micro-ônibus, ônibus e caminhões especializados, destinados à execução de atividades administrativas, educacionais, de saúde, infraestrutura, agricultura e apoio institucional.</w:t>
      </w:r>
    </w:p>
    <w:p>
      <w:pPr>
        <w:ind w:firstLine="708"/>
        <w:jc w:val="both"/>
        <w:rPr>
          <w:rFonts w:ascii="Cambria" w:hAnsi="Cambria"/>
          <w:sz w:val="24"/>
          <w:szCs w:val="24"/>
          <w:lang w:eastAsia="pt-BR"/>
        </w:rPr>
      </w:pPr>
      <w:r>
        <w:rPr>
          <w:rFonts w:ascii="Cambria" w:hAnsi="Cambria"/>
          <w:sz w:val="24"/>
          <w:szCs w:val="24"/>
          <w:lang w:eastAsia="pt-BR"/>
        </w:rPr>
        <w:t>Sob a perspectiva do interesse público, a contratação da locação de veículos apresenta-se como medida necessária para assegurar a mobilidade administrativa e operacional dos órgãos municipais, proporcionando maior eficiência na prestação dos serviços públicos, redução de interrupções decorrentes de indisponibilidade de frota, otimização dos recursos públicos e atendimento adequado das necessidades da população.</w:t>
      </w:r>
    </w:p>
    <w:p>
      <w:pPr>
        <w:ind w:firstLine="708"/>
        <w:jc w:val="both"/>
        <w:rPr>
          <w:rFonts w:ascii="Cambria" w:hAnsi="Cambria"/>
          <w:sz w:val="24"/>
          <w:szCs w:val="24"/>
          <w:lang w:eastAsia="pt-BR"/>
        </w:rPr>
      </w:pPr>
      <w:r>
        <w:rPr>
          <w:rFonts w:ascii="Cambria" w:hAnsi="Cambria"/>
          <w:sz w:val="24"/>
          <w:szCs w:val="24"/>
          <w:lang w:eastAsia="pt-BR"/>
        </w:rPr>
        <w:t>Dessa forma, a contratação pretendida visa garantir condições adequadas para a execução das políticas públicas municipais, contribuindo para a continuidade dos serviços essenciais e para o cumprimento das atribuições institucionais das diversas Secretarias do Município de Miraíma/CE.</w:t>
      </w:r>
    </w:p>
    <w:p>
      <w:pPr>
        <w:ind w:firstLine="708"/>
        <w:jc w:val="both"/>
        <w:rPr>
          <w:rFonts w:ascii="Cambria" w:hAnsi="Cambria"/>
          <w:sz w:val="24"/>
          <w:szCs w:val="24"/>
          <w:lang w:eastAsia="pt-BR"/>
        </w:rPr>
      </w:pPr>
    </w:p>
    <w:p>
      <w:pPr>
        <w:pStyle w:val="PargrafodaLista"/>
        <w:numPr>
          <w:ilvl w:val="0"/>
          <w:numId w:val="24"/>
        </w:numPr>
        <w:tabs>
          <w:tab w:val="left" w:pos="284"/>
        </w:tabs>
        <w:spacing w:after="0" w:line="276" w:lineRule="auto"/>
        <w:ind w:left="0" w:firstLine="0"/>
        <w:jc w:val="both"/>
        <w:rPr>
          <w:rFonts w:ascii="Cambria" w:eastAsia="Calibri" w:hAnsi="Cambria" w:cs="Times New Roman"/>
          <w:b/>
          <w:kern w:val="0"/>
          <w:sz w:val="24"/>
          <w:szCs w:val="24"/>
          <w14:ligatures w14:val="none"/>
        </w:rPr>
      </w:pPr>
      <w:r>
        <w:rPr>
          <w:rFonts w:ascii="Cambria" w:eastAsia="Calibri" w:hAnsi="Cambria" w:cs="Times New Roman"/>
          <w:b/>
          <w:kern w:val="0"/>
          <w:sz w:val="24"/>
          <w:szCs w:val="24"/>
          <w14:ligatures w14:val="none"/>
        </w:rPr>
        <w:t xml:space="preserve">DEMONSTRAÇÃO DA PREVISÃO DA CONTRATAÇÃO NO PLANO DE CONTRATAÇÕES ANUAL – PCA, SEMPRE QUE ELABORADO, DE MODO A INDICAR O SEU ALINHAMENTO COM O PLANEJAMENTO DA ADMINISTRAÇÃO; </w:t>
      </w:r>
    </w:p>
    <w:p>
      <w:pPr>
        <w:spacing w:line="276" w:lineRule="auto"/>
        <w:ind w:firstLine="851"/>
        <w:jc w:val="both"/>
        <w:rPr>
          <w:rFonts w:ascii="Cambria" w:hAnsi="Cambria"/>
          <w:sz w:val="24"/>
          <w:szCs w:val="24"/>
        </w:rPr>
      </w:pPr>
      <w:r>
        <w:rPr>
          <w:rFonts w:ascii="Cambria" w:hAnsi="Cambria"/>
          <w:sz w:val="24"/>
          <w:szCs w:val="24"/>
        </w:rPr>
        <w:t>A contratação pretendida encontra-se devidamente prevista no Plano de Contratações Anual (PCA) do Município de Miraíma/CE, em conformidade com o planejamento estratégico da Administração Municipal e com as necessidades operacionais identificadas pelas Secretarias demandantes.</w:t>
      </w:r>
    </w:p>
    <w:p>
      <w:pPr>
        <w:spacing w:line="276" w:lineRule="auto"/>
        <w:ind w:firstLine="851"/>
        <w:jc w:val="both"/>
        <w:rPr>
          <w:rFonts w:ascii="Cambria" w:hAnsi="Cambria"/>
          <w:sz w:val="24"/>
          <w:szCs w:val="24"/>
        </w:rPr>
      </w:pPr>
      <w:r>
        <w:rPr>
          <w:rFonts w:ascii="Cambria" w:hAnsi="Cambria"/>
          <w:sz w:val="24"/>
          <w:szCs w:val="24"/>
        </w:rPr>
        <w:lastRenderedPageBreak/>
        <w:t>A previsão da contratação no PCA demonstra o alinhamento da demanda com os objetivos institucionais da Administração, possibilitando a adequada programação das despesas, o fortalecimento da governança das contratações públicas e a observância dos princípios da eficiência, economicidade e planejamento previstos na Lei Federal nº 14.133/2021.</w:t>
      </w:r>
    </w:p>
    <w:p>
      <w:pPr>
        <w:spacing w:line="276" w:lineRule="auto"/>
        <w:ind w:firstLine="851"/>
        <w:jc w:val="both"/>
        <w:rPr>
          <w:rFonts w:ascii="Cambria" w:hAnsi="Cambria"/>
          <w:sz w:val="24"/>
          <w:szCs w:val="24"/>
        </w:rPr>
      </w:pPr>
      <w:r>
        <w:rPr>
          <w:rFonts w:ascii="Cambria" w:hAnsi="Cambria"/>
          <w:sz w:val="24"/>
          <w:szCs w:val="24"/>
        </w:rPr>
        <w:t>As demandas foram registradas no Plano de Contratações Anual sob os seguintes identificadores:</w:t>
      </w:r>
    </w:p>
    <w:p>
      <w:pPr>
        <w:numPr>
          <w:ilvl w:val="0"/>
          <w:numId w:val="1"/>
        </w:numPr>
        <w:spacing w:line="276" w:lineRule="auto"/>
        <w:jc w:val="both"/>
        <w:rPr>
          <w:rFonts w:ascii="Cambria" w:hAnsi="Cambria"/>
          <w:sz w:val="24"/>
          <w:szCs w:val="24"/>
        </w:rPr>
      </w:pPr>
      <w:r>
        <w:rPr>
          <w:rFonts w:ascii="Cambria" w:hAnsi="Cambria"/>
          <w:b/>
          <w:bCs/>
          <w:sz w:val="24"/>
          <w:szCs w:val="24"/>
        </w:rPr>
        <w:t>Secretaria de Gabinete</w:t>
      </w:r>
      <w:r>
        <w:rPr>
          <w:rFonts w:ascii="Cambria" w:hAnsi="Cambria"/>
          <w:sz w:val="24"/>
          <w:szCs w:val="24"/>
        </w:rPr>
        <w:t xml:space="preserve"> – ID nº 209, com valor estimado de R$ 233.000,00 (duzentos e trinta e três mil reais), com contratação prevista para 02 de janeiro;</w:t>
      </w:r>
    </w:p>
    <w:p>
      <w:pPr>
        <w:numPr>
          <w:ilvl w:val="0"/>
          <w:numId w:val="1"/>
        </w:numPr>
        <w:spacing w:line="276" w:lineRule="auto"/>
        <w:jc w:val="both"/>
        <w:rPr>
          <w:rFonts w:ascii="Cambria" w:hAnsi="Cambria"/>
          <w:sz w:val="24"/>
          <w:szCs w:val="24"/>
        </w:rPr>
      </w:pPr>
      <w:r>
        <w:rPr>
          <w:rFonts w:ascii="Cambria" w:hAnsi="Cambria"/>
          <w:b/>
          <w:bCs/>
          <w:sz w:val="24"/>
          <w:szCs w:val="24"/>
        </w:rPr>
        <w:t>Secretaria de Infraestrutura e Serviços Públicos</w:t>
      </w:r>
      <w:r>
        <w:rPr>
          <w:rFonts w:ascii="Cambria" w:hAnsi="Cambria"/>
          <w:sz w:val="24"/>
          <w:szCs w:val="24"/>
        </w:rPr>
        <w:t xml:space="preserve"> – ID nº 208, com valor estimado de R$ 420.000,00 (quatrocentos e vinte mil reais), com contratação prevista para 02 de janeiro;</w:t>
      </w:r>
    </w:p>
    <w:p>
      <w:pPr>
        <w:numPr>
          <w:ilvl w:val="0"/>
          <w:numId w:val="1"/>
        </w:numPr>
        <w:spacing w:line="276" w:lineRule="auto"/>
        <w:jc w:val="both"/>
        <w:rPr>
          <w:rFonts w:ascii="Cambria" w:hAnsi="Cambria"/>
          <w:sz w:val="24"/>
          <w:szCs w:val="24"/>
        </w:rPr>
      </w:pPr>
      <w:r>
        <w:rPr>
          <w:rFonts w:ascii="Cambria" w:hAnsi="Cambria"/>
          <w:b/>
          <w:bCs/>
          <w:sz w:val="24"/>
          <w:szCs w:val="24"/>
        </w:rPr>
        <w:t>Secretaria de Educação</w:t>
      </w:r>
      <w:r>
        <w:rPr>
          <w:rFonts w:ascii="Cambria" w:hAnsi="Cambria"/>
          <w:sz w:val="24"/>
          <w:szCs w:val="24"/>
        </w:rPr>
        <w:t xml:space="preserve"> – ID nº 213, com valor estimado de R$ 120.000,00 (cento e vinte mil reais), com contratação prevista para 02 de janeiro;</w:t>
      </w:r>
    </w:p>
    <w:p>
      <w:pPr>
        <w:numPr>
          <w:ilvl w:val="0"/>
          <w:numId w:val="1"/>
        </w:numPr>
        <w:spacing w:line="276" w:lineRule="auto"/>
        <w:jc w:val="both"/>
        <w:rPr>
          <w:rFonts w:ascii="Cambria" w:hAnsi="Cambria"/>
          <w:sz w:val="24"/>
          <w:szCs w:val="24"/>
        </w:rPr>
      </w:pPr>
      <w:r>
        <w:rPr>
          <w:rFonts w:ascii="Cambria" w:hAnsi="Cambria"/>
          <w:b/>
          <w:bCs/>
          <w:sz w:val="24"/>
          <w:szCs w:val="24"/>
        </w:rPr>
        <w:t>Secretaria de Saúde</w:t>
      </w:r>
      <w:r>
        <w:rPr>
          <w:rFonts w:ascii="Cambria" w:hAnsi="Cambria"/>
          <w:sz w:val="24"/>
          <w:szCs w:val="24"/>
        </w:rPr>
        <w:t xml:space="preserve"> – ID nº 217, com valor estimado de R$ 1.200.000,00 (um milhão e duzentos mil reais), com contratação prevista para 02 de janeiro;</w:t>
      </w:r>
    </w:p>
    <w:p>
      <w:pPr>
        <w:numPr>
          <w:ilvl w:val="0"/>
          <w:numId w:val="1"/>
        </w:numPr>
        <w:spacing w:line="276" w:lineRule="auto"/>
        <w:jc w:val="both"/>
        <w:rPr>
          <w:rFonts w:ascii="Cambria" w:hAnsi="Cambria"/>
          <w:sz w:val="24"/>
          <w:szCs w:val="24"/>
        </w:rPr>
      </w:pPr>
      <w:r>
        <w:rPr>
          <w:rFonts w:ascii="Cambria" w:hAnsi="Cambria"/>
          <w:b/>
          <w:bCs/>
          <w:sz w:val="24"/>
          <w:szCs w:val="24"/>
        </w:rPr>
        <w:t>Secretaria de Agricultura e Meio Ambiente</w:t>
      </w:r>
      <w:r>
        <w:rPr>
          <w:rFonts w:ascii="Cambria" w:hAnsi="Cambria"/>
          <w:sz w:val="24"/>
          <w:szCs w:val="24"/>
        </w:rPr>
        <w:t xml:space="preserve"> – ID nº 212, com valor estimado de R$ 162.000,00 (cento e sessenta e dois mil reais), com contratação prevista para 02 de janeiro.</w:t>
      </w:r>
    </w:p>
    <w:p>
      <w:pPr>
        <w:spacing w:line="276" w:lineRule="auto"/>
        <w:ind w:firstLine="851"/>
        <w:jc w:val="both"/>
        <w:rPr>
          <w:rFonts w:ascii="Cambria" w:hAnsi="Cambria"/>
          <w:sz w:val="24"/>
          <w:szCs w:val="24"/>
        </w:rPr>
      </w:pPr>
      <w:r>
        <w:rPr>
          <w:rFonts w:ascii="Cambria" w:hAnsi="Cambria"/>
          <w:sz w:val="24"/>
          <w:szCs w:val="24"/>
        </w:rPr>
        <w:t>Dessa forma, verifica-se que a presente contratação está compatível com o planejamento previamente estabelecido pela Administração Municipal, evidenciando a necessidade institucional da locação de veículos para garantir a continuidade das atividades administrativas e operacionais das diversas Secretarias, bem como a adequada prestação dos serviços públicos à população do Município de Miraíma/CE.</w:t>
      </w:r>
    </w:p>
    <w:p>
      <w:pPr>
        <w:spacing w:line="276" w:lineRule="auto"/>
        <w:jc w:val="both"/>
        <w:rPr>
          <w:rFonts w:ascii="Cambria" w:eastAsia="Calibri" w:hAnsi="Cambria"/>
          <w:sz w:val="24"/>
          <w:szCs w:val="24"/>
        </w:rPr>
      </w:pPr>
    </w:p>
    <w:p>
      <w:pPr>
        <w:numPr>
          <w:ilvl w:val="0"/>
          <w:numId w:val="24"/>
        </w:numPr>
        <w:tabs>
          <w:tab w:val="left" w:pos="284"/>
        </w:tabs>
        <w:spacing w:line="276" w:lineRule="auto"/>
        <w:ind w:hanging="6031"/>
        <w:jc w:val="both"/>
        <w:rPr>
          <w:rFonts w:ascii="Cambria" w:eastAsia="Calibri" w:hAnsi="Cambria"/>
          <w:b/>
          <w:sz w:val="24"/>
          <w:szCs w:val="24"/>
        </w:rPr>
      </w:pPr>
      <w:r>
        <w:rPr>
          <w:rFonts w:ascii="Cambria" w:eastAsia="Calibri" w:hAnsi="Cambria"/>
          <w:b/>
          <w:sz w:val="24"/>
          <w:szCs w:val="24"/>
        </w:rPr>
        <w:t>REQUISITOS DA CONTRATAÇÃO:</w:t>
      </w:r>
    </w:p>
    <w:p>
      <w:pPr>
        <w:spacing w:line="276" w:lineRule="auto"/>
        <w:ind w:firstLine="851"/>
        <w:jc w:val="both"/>
        <w:rPr>
          <w:rFonts w:ascii="Cambria" w:eastAsia="Calibri" w:hAnsi="Cambria"/>
          <w:bCs/>
          <w:sz w:val="24"/>
          <w:szCs w:val="24"/>
        </w:rPr>
      </w:pPr>
      <w:r>
        <w:rPr>
          <w:rFonts w:ascii="Cambria" w:eastAsia="Calibri" w:hAnsi="Cambria"/>
          <w:bCs/>
          <w:sz w:val="24"/>
          <w:szCs w:val="24"/>
        </w:rPr>
        <w:t>A contratação deverá contemplar a locação de veículos destinados ao atendimento das necessidades das diversas Secretarias do Município de Miraíma/CE, observando os requisitos mínimos indispensáveis à adequada execução do objeto, à segurança dos usuários e à eficiência dos serviços públicos.</w:t>
      </w:r>
    </w:p>
    <w:p>
      <w:pPr>
        <w:spacing w:line="276" w:lineRule="auto"/>
        <w:ind w:firstLine="851"/>
        <w:jc w:val="both"/>
        <w:rPr>
          <w:rFonts w:ascii="Cambria" w:eastAsia="Calibri" w:hAnsi="Cambria"/>
          <w:bCs/>
          <w:sz w:val="24"/>
          <w:szCs w:val="24"/>
        </w:rPr>
      </w:pPr>
      <w:r>
        <w:rPr>
          <w:rFonts w:ascii="Cambria" w:eastAsia="Calibri" w:hAnsi="Cambria"/>
          <w:bCs/>
          <w:sz w:val="24"/>
          <w:szCs w:val="24"/>
        </w:rPr>
        <w:t>Os veículos disponibilizados deverão atender integralmente às especificações técnicas constantes no Termo de Referência, observando as características mínimas de capacidade, motorização, tipo de combustível, quantidade de passageiros e demais exigências definidas para cada categoria de veículo.</w:t>
      </w:r>
    </w:p>
    <w:p>
      <w:pPr>
        <w:spacing w:line="276" w:lineRule="auto"/>
        <w:ind w:firstLine="851"/>
        <w:jc w:val="both"/>
        <w:rPr>
          <w:rFonts w:ascii="Cambria" w:eastAsia="Calibri" w:hAnsi="Cambria"/>
          <w:bCs/>
          <w:sz w:val="24"/>
          <w:szCs w:val="24"/>
        </w:rPr>
      </w:pPr>
      <w:r>
        <w:rPr>
          <w:rFonts w:ascii="Cambria" w:eastAsia="Calibri" w:hAnsi="Cambria"/>
          <w:bCs/>
          <w:sz w:val="24"/>
          <w:szCs w:val="24"/>
        </w:rPr>
        <w:t>A contratada deverá disponibilizar veículos em perfeito estado de conservação, funcionamento, segurança, higiene e apresentação, devidamente licenciados, regularizados perante os órgãos competentes e aptos à circulação durante toda a vigência contratual.</w:t>
      </w:r>
    </w:p>
    <w:p>
      <w:pPr>
        <w:spacing w:line="276" w:lineRule="auto"/>
        <w:ind w:firstLine="851"/>
        <w:jc w:val="both"/>
        <w:rPr>
          <w:rFonts w:ascii="Cambria" w:eastAsia="Calibri" w:hAnsi="Cambria"/>
          <w:bCs/>
          <w:sz w:val="24"/>
          <w:szCs w:val="24"/>
        </w:rPr>
      </w:pPr>
      <w:r>
        <w:rPr>
          <w:rFonts w:ascii="Cambria" w:eastAsia="Calibri" w:hAnsi="Cambria"/>
          <w:bCs/>
          <w:sz w:val="24"/>
          <w:szCs w:val="24"/>
        </w:rPr>
        <w:lastRenderedPageBreak/>
        <w:t>Todos os veículos deverão possuir os equipamentos obrigatórios exigidos pela legislação de trânsito vigente, bem como atender às normas estabelecidas pelo Código de Trânsito Brasileiro – CTB e demais regulamentos aplicáveis.</w:t>
      </w:r>
    </w:p>
    <w:p>
      <w:pPr>
        <w:spacing w:line="276" w:lineRule="auto"/>
        <w:ind w:firstLine="851"/>
        <w:jc w:val="both"/>
        <w:rPr>
          <w:rFonts w:ascii="Cambria" w:eastAsia="Calibri" w:hAnsi="Cambria"/>
          <w:bCs/>
          <w:sz w:val="24"/>
          <w:szCs w:val="24"/>
        </w:rPr>
      </w:pPr>
      <w:r>
        <w:rPr>
          <w:rFonts w:ascii="Cambria" w:eastAsia="Calibri" w:hAnsi="Cambria"/>
          <w:bCs/>
          <w:sz w:val="24"/>
          <w:szCs w:val="24"/>
        </w:rPr>
        <w:t>A manutenção preventiva e corretiva dos veículos será de responsabilidade da contratada, incluindo reposição de peças, pneus, acessórios, lubrificantes e demais insumos necessários à manutenção das condições de uso e segurança dos veículos, sem ônus adicional para a Administração Municipal.</w:t>
      </w:r>
    </w:p>
    <w:p>
      <w:pPr>
        <w:spacing w:line="276" w:lineRule="auto"/>
        <w:ind w:firstLine="851"/>
        <w:jc w:val="both"/>
        <w:rPr>
          <w:rFonts w:ascii="Cambria" w:eastAsia="Calibri" w:hAnsi="Cambria"/>
          <w:bCs/>
          <w:sz w:val="24"/>
          <w:szCs w:val="24"/>
        </w:rPr>
      </w:pPr>
      <w:r>
        <w:rPr>
          <w:rFonts w:ascii="Cambria" w:eastAsia="Calibri" w:hAnsi="Cambria"/>
          <w:bCs/>
          <w:sz w:val="24"/>
          <w:szCs w:val="24"/>
        </w:rPr>
        <w:t>Nos casos de ocorrência de defeitos mecânicos, elétricos, acidentes ou qualquer situação que impeça a utilização do veículo, a contratada deverá providenciar sua substituição por outro de características equivalentes ou superiores, em prazo compatível com a continuidade dos serviços públicos, sem custos adicionais para a contratante.</w:t>
      </w:r>
    </w:p>
    <w:p>
      <w:pPr>
        <w:spacing w:line="276" w:lineRule="auto"/>
        <w:ind w:firstLine="851"/>
        <w:jc w:val="both"/>
        <w:rPr>
          <w:rFonts w:ascii="Cambria" w:eastAsia="Calibri" w:hAnsi="Cambria"/>
          <w:bCs/>
          <w:sz w:val="24"/>
          <w:szCs w:val="24"/>
        </w:rPr>
      </w:pPr>
      <w:r>
        <w:rPr>
          <w:rFonts w:ascii="Cambria" w:eastAsia="Calibri" w:hAnsi="Cambria"/>
          <w:bCs/>
          <w:sz w:val="24"/>
          <w:szCs w:val="24"/>
        </w:rPr>
        <w:t>O abastecimento dos veículos será de responsabilidade da contratante, conforme previsto nas especificações do objeto.</w:t>
      </w:r>
    </w:p>
    <w:p>
      <w:pPr>
        <w:spacing w:line="276" w:lineRule="auto"/>
        <w:ind w:firstLine="851"/>
        <w:jc w:val="both"/>
        <w:rPr>
          <w:rFonts w:ascii="Cambria" w:eastAsia="Calibri" w:hAnsi="Cambria"/>
          <w:bCs/>
          <w:sz w:val="24"/>
          <w:szCs w:val="24"/>
        </w:rPr>
      </w:pPr>
      <w:r>
        <w:rPr>
          <w:rFonts w:ascii="Cambria" w:eastAsia="Calibri" w:hAnsi="Cambria"/>
          <w:bCs/>
          <w:sz w:val="24"/>
          <w:szCs w:val="24"/>
        </w:rPr>
        <w:t>Os veículos deverão possuir ano de fabricação compatível com as exigências estabelecidas para cada item da contratação, garantindo condições adequadas de desempenho, conforto, segurança e confiabilidade operacional.</w:t>
      </w:r>
    </w:p>
    <w:p>
      <w:pPr>
        <w:spacing w:line="276" w:lineRule="auto"/>
        <w:ind w:firstLine="851"/>
        <w:jc w:val="both"/>
        <w:rPr>
          <w:rFonts w:ascii="Cambria" w:eastAsia="Calibri" w:hAnsi="Cambria"/>
          <w:bCs/>
          <w:sz w:val="24"/>
          <w:szCs w:val="24"/>
        </w:rPr>
      </w:pPr>
      <w:r>
        <w:rPr>
          <w:rFonts w:ascii="Cambria" w:eastAsia="Calibri" w:hAnsi="Cambria"/>
          <w:bCs/>
          <w:sz w:val="24"/>
          <w:szCs w:val="24"/>
        </w:rPr>
        <w:t>A contratada deverá comprovar capacidade técnica para execução do objeto mediante apresentação de atestado(s) de capacidade técnica emitido(s) por pessoa jurídica de direito público ou privado, demonstrando experiência anterior compatível com os serviços de locação de veículos.</w:t>
      </w:r>
    </w:p>
    <w:p>
      <w:pPr>
        <w:spacing w:line="276" w:lineRule="auto"/>
        <w:ind w:firstLine="851"/>
        <w:jc w:val="both"/>
        <w:rPr>
          <w:rFonts w:ascii="Cambria" w:eastAsia="Calibri" w:hAnsi="Cambria"/>
          <w:bCs/>
          <w:sz w:val="24"/>
          <w:szCs w:val="24"/>
        </w:rPr>
      </w:pPr>
      <w:r>
        <w:rPr>
          <w:rFonts w:ascii="Cambria" w:eastAsia="Calibri" w:hAnsi="Cambria"/>
          <w:bCs/>
          <w:sz w:val="24"/>
          <w:szCs w:val="24"/>
        </w:rPr>
        <w:t>A empresa contratada deverá manter durante toda a execução contratual as condições de habilitação jurídica, fiscal, trabalhista, econômico-financeira e técnica exigidas no processo licitatório, observando integralmente as disposições da Lei Federal nº 14.133/2021.</w:t>
      </w:r>
    </w:p>
    <w:p>
      <w:pPr>
        <w:spacing w:line="276" w:lineRule="auto"/>
        <w:ind w:firstLine="851"/>
        <w:jc w:val="both"/>
        <w:rPr>
          <w:rFonts w:ascii="Cambria" w:eastAsia="Calibri" w:hAnsi="Cambria"/>
          <w:bCs/>
          <w:sz w:val="24"/>
          <w:szCs w:val="24"/>
        </w:rPr>
      </w:pPr>
      <w:r>
        <w:rPr>
          <w:rFonts w:ascii="Cambria" w:eastAsia="Calibri" w:hAnsi="Cambria"/>
          <w:bCs/>
          <w:sz w:val="24"/>
          <w:szCs w:val="24"/>
        </w:rPr>
        <w:t>A execução contratual deverá observar critérios de eficiência, economicidade, continuidade dos serviços públicos, segurança dos usuários e atendimento às necessidades específicas de cada Secretaria Municipal, garantindo a plena disponibilidade da frota necessária ao desenvolvimento das atividades institucionais da Administração Pública Municipal.</w:t>
      </w:r>
    </w:p>
    <w:p>
      <w:pPr>
        <w:spacing w:line="276" w:lineRule="auto"/>
        <w:jc w:val="both"/>
        <w:rPr>
          <w:rFonts w:ascii="Cambria" w:eastAsia="Calibri" w:hAnsi="Cambria"/>
          <w:bCs/>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4. ESTIMATIVAS DAS QUANTIDADES PARA A CONTRATAÇÃO, ACOMPANHADAS DAS MEMÓRIAS DE CÁLCULO E DOS DOCUMENTOS QUE LHES DÃO SUPORTE, QUE CONSIDEREM INTERDEPENDÊNCIAS COM OUTRAS CONTRATAÇÕES, DE MODO A POSSIBILITAR ECONOMIA DE ESCALA.</w:t>
      </w:r>
    </w:p>
    <w:p>
      <w:pPr>
        <w:spacing w:line="276" w:lineRule="auto"/>
        <w:ind w:firstLine="851"/>
        <w:jc w:val="both"/>
        <w:rPr>
          <w:rFonts w:ascii="Cambria" w:eastAsia="Calibri" w:hAnsi="Cambria"/>
          <w:bCs/>
          <w:sz w:val="24"/>
          <w:szCs w:val="24"/>
        </w:rPr>
      </w:pPr>
      <w:r>
        <w:rPr>
          <w:rFonts w:ascii="Cambria" w:eastAsia="Calibri" w:hAnsi="Cambria"/>
          <w:bCs/>
          <w:sz w:val="24"/>
          <w:szCs w:val="24"/>
        </w:rPr>
        <w:t xml:space="preserve">A definição das quantidades estimadas para a presente contratação foi realizada com base nos levantamentos efetuados pelas Secretarias Municipais demandantes, considerando a necessidade operacional de cada unidade administrativa, o histórico de utilização da frota, a abrangência territorial do Município, a continuidade dos serviços públicos prestados à população e as demandas permanentes de deslocamento de </w:t>
      </w:r>
      <w:r>
        <w:rPr>
          <w:rFonts w:ascii="Cambria" w:eastAsia="Calibri" w:hAnsi="Cambria"/>
          <w:bCs/>
          <w:sz w:val="24"/>
          <w:szCs w:val="24"/>
        </w:rPr>
        <w:lastRenderedPageBreak/>
        <w:t>servidores, equipes técnicas, materiais, equipamentos, estudantes e usuários dos serviços públicos.</w:t>
      </w:r>
    </w:p>
    <w:p>
      <w:pPr>
        <w:spacing w:line="276" w:lineRule="auto"/>
        <w:ind w:firstLine="851"/>
        <w:jc w:val="both"/>
        <w:rPr>
          <w:rFonts w:ascii="Cambria" w:eastAsia="Calibri" w:hAnsi="Cambria"/>
          <w:bCs/>
          <w:sz w:val="24"/>
          <w:szCs w:val="24"/>
        </w:rPr>
      </w:pPr>
      <w:r>
        <w:rPr>
          <w:rFonts w:ascii="Cambria" w:eastAsia="Calibri" w:hAnsi="Cambria"/>
          <w:bCs/>
          <w:sz w:val="24"/>
          <w:szCs w:val="24"/>
        </w:rPr>
        <w:t>As estimativas foram consolidadas a partir dos Documentos de Formalização de Demanda (DFD), estudos internos das Secretarias e pesquisas de mercado realizadas pela Administração, os quais constituem os documentos de suporte da presente contratação.</w:t>
      </w:r>
    </w:p>
    <w:p>
      <w:pPr>
        <w:spacing w:line="276" w:lineRule="auto"/>
        <w:ind w:firstLine="851"/>
        <w:jc w:val="both"/>
        <w:rPr>
          <w:rFonts w:ascii="Cambria" w:eastAsia="Calibri" w:hAnsi="Cambria"/>
          <w:bCs/>
          <w:sz w:val="24"/>
          <w:szCs w:val="24"/>
        </w:rPr>
      </w:pPr>
      <w:r>
        <w:rPr>
          <w:rFonts w:ascii="Cambria" w:eastAsia="Calibri" w:hAnsi="Cambria"/>
          <w:bCs/>
          <w:sz w:val="24"/>
          <w:szCs w:val="24"/>
        </w:rPr>
        <w:t>Considerando a similaridade dos serviços e visando à obtenção de ganhos de escala, economicidade, padronização dos procedimentos de gestão contratual e ampliação da competitividade do certame, optou-se pela consolidação das demandas das diversas Secretarias Municipais em um único processo licitatório, mantendo-se a individualização dos quantitativos por unidade administrativa.</w:t>
      </w:r>
    </w:p>
    <w:p>
      <w:pPr>
        <w:spacing w:line="276" w:lineRule="auto"/>
        <w:ind w:firstLine="851"/>
        <w:jc w:val="both"/>
        <w:rPr>
          <w:rFonts w:ascii="Cambria" w:eastAsia="Calibri" w:hAnsi="Cambria"/>
          <w:bCs/>
          <w:sz w:val="24"/>
          <w:szCs w:val="24"/>
        </w:rPr>
      </w:pPr>
      <w:r>
        <w:rPr>
          <w:rFonts w:ascii="Cambria" w:eastAsia="Calibri" w:hAnsi="Cambria"/>
          <w:bCs/>
          <w:sz w:val="24"/>
          <w:szCs w:val="24"/>
        </w:rPr>
        <w:t>As quantidades estimadas contemplam os seguintes veículos:</w:t>
      </w:r>
    </w:p>
    <w:p>
      <w:pPr>
        <w:spacing w:line="276" w:lineRule="auto"/>
        <w:jc w:val="both"/>
        <w:rPr>
          <w:rFonts w:ascii="Cambria" w:eastAsia="Calibri" w:hAnsi="Cambria"/>
          <w:bCs/>
          <w:sz w:val="24"/>
          <w:szCs w:val="24"/>
        </w:rPr>
      </w:pPr>
      <w:r>
        <w:rPr>
          <w:rFonts w:ascii="Cambria" w:eastAsia="Calibri" w:hAnsi="Cambria"/>
          <w:b/>
          <w:bCs/>
          <w:sz w:val="24"/>
          <w:szCs w:val="24"/>
        </w:rPr>
        <w:t>Secretaria de Saúde</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08 veículos tipo passeio/utilitário;</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14 veículos tipo popular;</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02 veículos tipo van com capacidade mínima para 16 passageiros;</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02 veículos tipo van com capacidade mínima para 20 passageiros;</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02 veículos utilitários cabine simples;</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04 veículos utilitários SUV;</w:t>
      </w:r>
    </w:p>
    <w:p>
      <w:pPr>
        <w:numPr>
          <w:ilvl w:val="0"/>
          <w:numId w:val="2"/>
        </w:numPr>
        <w:spacing w:line="276" w:lineRule="auto"/>
        <w:jc w:val="both"/>
        <w:rPr>
          <w:rFonts w:ascii="Cambria" w:eastAsia="Calibri" w:hAnsi="Cambria"/>
          <w:bCs/>
          <w:sz w:val="24"/>
          <w:szCs w:val="24"/>
        </w:rPr>
      </w:pPr>
      <w:r>
        <w:rPr>
          <w:rFonts w:ascii="Cambria" w:eastAsia="Calibri" w:hAnsi="Cambria"/>
          <w:bCs/>
          <w:sz w:val="24"/>
          <w:szCs w:val="24"/>
        </w:rPr>
        <w:t>02 veículos utilitários cabine dupla.</w:t>
      </w:r>
    </w:p>
    <w:p>
      <w:pPr>
        <w:spacing w:line="276" w:lineRule="auto"/>
        <w:ind w:left="720"/>
        <w:jc w:val="both"/>
        <w:rPr>
          <w:rFonts w:ascii="Cambria" w:eastAsia="Calibri" w:hAnsi="Cambria"/>
          <w:bCs/>
          <w:sz w:val="24"/>
          <w:szCs w:val="24"/>
        </w:rPr>
      </w:pPr>
    </w:p>
    <w:p>
      <w:pPr>
        <w:spacing w:line="276" w:lineRule="auto"/>
        <w:jc w:val="both"/>
        <w:rPr>
          <w:rFonts w:ascii="Cambria" w:eastAsia="Calibri" w:hAnsi="Cambria"/>
          <w:bCs/>
          <w:sz w:val="24"/>
          <w:szCs w:val="24"/>
        </w:rPr>
      </w:pPr>
      <w:r>
        <w:rPr>
          <w:rFonts w:ascii="Cambria" w:eastAsia="Calibri" w:hAnsi="Cambria"/>
          <w:b/>
          <w:bCs/>
          <w:sz w:val="24"/>
          <w:szCs w:val="24"/>
        </w:rPr>
        <w:t>Secretaria de Educação</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04 micro-ônibus;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04 ônibus;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06 veículos tipo passeio/utilitário;</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04 veículos tipo popular;</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04 veículos tipo sedan;</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02 veículos tipo van para 14 passageiros;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02 veículos tipo van para 16 passageiros;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02 veículos tipo van para 20 passageiros;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02 caminhonetes cabine dupla 4x4;</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02 veículos utilitários cabine simples;</w:t>
      </w:r>
    </w:p>
    <w:p>
      <w:pPr>
        <w:numPr>
          <w:ilvl w:val="0"/>
          <w:numId w:val="3"/>
        </w:numPr>
        <w:spacing w:line="276" w:lineRule="auto"/>
        <w:jc w:val="both"/>
        <w:rPr>
          <w:rFonts w:ascii="Cambria" w:eastAsia="Calibri" w:hAnsi="Cambria"/>
          <w:bCs/>
          <w:sz w:val="24"/>
          <w:szCs w:val="24"/>
        </w:rPr>
      </w:pPr>
      <w:r>
        <w:rPr>
          <w:rFonts w:ascii="Cambria" w:eastAsia="Calibri" w:hAnsi="Cambria"/>
          <w:bCs/>
          <w:sz w:val="24"/>
          <w:szCs w:val="24"/>
        </w:rPr>
        <w:t>04 veículos utilitários SUV.</w:t>
      </w:r>
    </w:p>
    <w:p>
      <w:pPr>
        <w:spacing w:line="276" w:lineRule="auto"/>
        <w:ind w:left="720"/>
        <w:jc w:val="both"/>
        <w:rPr>
          <w:rFonts w:ascii="Cambria" w:eastAsia="Calibri" w:hAnsi="Cambria"/>
          <w:bCs/>
          <w:sz w:val="24"/>
          <w:szCs w:val="24"/>
        </w:rPr>
      </w:pPr>
    </w:p>
    <w:p>
      <w:pPr>
        <w:spacing w:line="276" w:lineRule="auto"/>
        <w:jc w:val="both"/>
        <w:rPr>
          <w:rFonts w:ascii="Cambria" w:eastAsia="Calibri" w:hAnsi="Cambria"/>
          <w:bCs/>
          <w:sz w:val="24"/>
          <w:szCs w:val="24"/>
        </w:rPr>
      </w:pPr>
      <w:r>
        <w:rPr>
          <w:rFonts w:ascii="Cambria" w:eastAsia="Calibri" w:hAnsi="Cambria"/>
          <w:b/>
          <w:bCs/>
          <w:sz w:val="24"/>
          <w:szCs w:val="24"/>
        </w:rPr>
        <w:t>Secretaria de Infraestrutura e Serviços Públicos</w:t>
      </w:r>
    </w:p>
    <w:p>
      <w:pPr>
        <w:numPr>
          <w:ilvl w:val="0"/>
          <w:numId w:val="4"/>
        </w:numPr>
        <w:spacing w:line="276" w:lineRule="auto"/>
        <w:jc w:val="both"/>
        <w:rPr>
          <w:rFonts w:ascii="Cambria" w:eastAsia="Calibri" w:hAnsi="Cambria"/>
          <w:bCs/>
          <w:sz w:val="24"/>
          <w:szCs w:val="24"/>
        </w:rPr>
      </w:pPr>
      <w:r>
        <w:rPr>
          <w:rFonts w:ascii="Cambria" w:eastAsia="Calibri" w:hAnsi="Cambria"/>
          <w:bCs/>
          <w:sz w:val="24"/>
          <w:szCs w:val="24"/>
        </w:rPr>
        <w:t>02 caminhões 3/4;</w:t>
      </w:r>
    </w:p>
    <w:p>
      <w:pPr>
        <w:numPr>
          <w:ilvl w:val="0"/>
          <w:numId w:val="4"/>
        </w:numPr>
        <w:spacing w:line="276" w:lineRule="auto"/>
        <w:jc w:val="both"/>
        <w:rPr>
          <w:rFonts w:ascii="Cambria" w:eastAsia="Calibri" w:hAnsi="Cambria"/>
          <w:bCs/>
          <w:sz w:val="24"/>
          <w:szCs w:val="24"/>
        </w:rPr>
      </w:pPr>
      <w:r>
        <w:rPr>
          <w:rFonts w:ascii="Cambria" w:eastAsia="Calibri" w:hAnsi="Cambria"/>
          <w:bCs/>
          <w:sz w:val="24"/>
          <w:szCs w:val="24"/>
        </w:rPr>
        <w:t>02 caminhões caçamba com capacidade mínima de 12 m³;</w:t>
      </w:r>
    </w:p>
    <w:p>
      <w:pPr>
        <w:numPr>
          <w:ilvl w:val="0"/>
          <w:numId w:val="4"/>
        </w:numPr>
        <w:spacing w:line="276" w:lineRule="auto"/>
        <w:jc w:val="both"/>
        <w:rPr>
          <w:rFonts w:ascii="Cambria" w:eastAsia="Calibri" w:hAnsi="Cambria"/>
          <w:bCs/>
          <w:sz w:val="24"/>
          <w:szCs w:val="24"/>
        </w:rPr>
      </w:pPr>
      <w:r>
        <w:rPr>
          <w:rFonts w:ascii="Cambria" w:eastAsia="Calibri" w:hAnsi="Cambria"/>
          <w:bCs/>
          <w:sz w:val="24"/>
          <w:szCs w:val="24"/>
        </w:rPr>
        <w:t>02 caminhões caçamba com capacidade mínima de 6 m³;</w:t>
      </w:r>
    </w:p>
    <w:p>
      <w:pPr>
        <w:numPr>
          <w:ilvl w:val="0"/>
          <w:numId w:val="4"/>
        </w:numPr>
        <w:spacing w:line="276" w:lineRule="auto"/>
        <w:jc w:val="both"/>
        <w:rPr>
          <w:rFonts w:ascii="Cambria" w:eastAsia="Calibri" w:hAnsi="Cambria"/>
          <w:bCs/>
          <w:sz w:val="24"/>
          <w:szCs w:val="24"/>
        </w:rPr>
      </w:pPr>
      <w:r>
        <w:rPr>
          <w:rFonts w:ascii="Cambria" w:eastAsia="Calibri" w:hAnsi="Cambria"/>
          <w:bCs/>
          <w:sz w:val="24"/>
          <w:szCs w:val="24"/>
        </w:rPr>
        <w:t>02 caminhões pipa com capacidade mínima de 6.000 litros.</w:t>
      </w:r>
    </w:p>
    <w:p>
      <w:pPr>
        <w:spacing w:line="276" w:lineRule="auto"/>
        <w:ind w:left="720"/>
        <w:jc w:val="both"/>
        <w:rPr>
          <w:rFonts w:ascii="Cambria" w:eastAsia="Calibri" w:hAnsi="Cambria"/>
          <w:bCs/>
          <w:sz w:val="24"/>
          <w:szCs w:val="24"/>
        </w:rPr>
      </w:pPr>
    </w:p>
    <w:p>
      <w:pPr>
        <w:spacing w:line="276" w:lineRule="auto"/>
        <w:jc w:val="both"/>
        <w:rPr>
          <w:rFonts w:ascii="Cambria" w:eastAsia="Calibri" w:hAnsi="Cambria"/>
          <w:bCs/>
          <w:sz w:val="24"/>
          <w:szCs w:val="24"/>
        </w:rPr>
      </w:pPr>
      <w:r>
        <w:rPr>
          <w:rFonts w:ascii="Cambria" w:eastAsia="Calibri" w:hAnsi="Cambria"/>
          <w:b/>
          <w:bCs/>
          <w:sz w:val="24"/>
          <w:szCs w:val="24"/>
        </w:rPr>
        <w:t>Secretaria de Agricultura e Meio Ambiente</w:t>
      </w:r>
    </w:p>
    <w:p>
      <w:pPr>
        <w:numPr>
          <w:ilvl w:val="0"/>
          <w:numId w:val="5"/>
        </w:numPr>
        <w:spacing w:line="276" w:lineRule="auto"/>
        <w:jc w:val="both"/>
        <w:rPr>
          <w:rFonts w:ascii="Cambria" w:eastAsia="Calibri" w:hAnsi="Cambria"/>
          <w:bCs/>
          <w:sz w:val="24"/>
          <w:szCs w:val="24"/>
        </w:rPr>
      </w:pPr>
      <w:r>
        <w:rPr>
          <w:rFonts w:ascii="Cambria" w:eastAsia="Calibri" w:hAnsi="Cambria"/>
          <w:bCs/>
          <w:sz w:val="24"/>
          <w:szCs w:val="24"/>
        </w:rPr>
        <w:lastRenderedPageBreak/>
        <w:t>01 caminhão pipa com capacidade mínima de 6.000 litros.</w:t>
      </w:r>
    </w:p>
    <w:p>
      <w:pPr>
        <w:spacing w:line="276" w:lineRule="auto"/>
        <w:ind w:left="720"/>
        <w:jc w:val="both"/>
        <w:rPr>
          <w:rFonts w:ascii="Cambria" w:eastAsia="Calibri" w:hAnsi="Cambria"/>
          <w:bCs/>
          <w:sz w:val="24"/>
          <w:szCs w:val="24"/>
        </w:rPr>
      </w:pPr>
    </w:p>
    <w:p>
      <w:pPr>
        <w:spacing w:line="276" w:lineRule="auto"/>
        <w:jc w:val="both"/>
        <w:rPr>
          <w:rFonts w:ascii="Cambria" w:eastAsia="Calibri" w:hAnsi="Cambria"/>
          <w:bCs/>
          <w:sz w:val="24"/>
          <w:szCs w:val="24"/>
        </w:rPr>
      </w:pPr>
      <w:r>
        <w:rPr>
          <w:rFonts w:ascii="Cambria" w:eastAsia="Calibri" w:hAnsi="Cambria"/>
          <w:b/>
          <w:bCs/>
          <w:sz w:val="24"/>
          <w:szCs w:val="24"/>
        </w:rPr>
        <w:t>Secretaria de Gabinete</w:t>
      </w:r>
    </w:p>
    <w:p>
      <w:pPr>
        <w:numPr>
          <w:ilvl w:val="0"/>
          <w:numId w:val="6"/>
        </w:numPr>
        <w:spacing w:line="276" w:lineRule="auto"/>
        <w:jc w:val="both"/>
        <w:rPr>
          <w:rFonts w:ascii="Cambria" w:eastAsia="Calibri" w:hAnsi="Cambria"/>
          <w:bCs/>
          <w:sz w:val="24"/>
          <w:szCs w:val="24"/>
        </w:rPr>
      </w:pPr>
      <w:r>
        <w:rPr>
          <w:rFonts w:ascii="Cambria" w:eastAsia="Calibri" w:hAnsi="Cambria"/>
          <w:bCs/>
          <w:sz w:val="24"/>
          <w:szCs w:val="24"/>
        </w:rPr>
        <w:t>01 caminhonete cabine dupla 4x4.</w:t>
      </w:r>
    </w:p>
    <w:p>
      <w:pPr>
        <w:spacing w:line="276" w:lineRule="auto"/>
        <w:ind w:left="720"/>
        <w:jc w:val="both"/>
        <w:rPr>
          <w:rFonts w:ascii="Cambria" w:eastAsia="Calibri" w:hAnsi="Cambria"/>
          <w:bCs/>
          <w:sz w:val="24"/>
          <w:szCs w:val="24"/>
        </w:rPr>
      </w:pPr>
    </w:p>
    <w:p>
      <w:pPr>
        <w:spacing w:line="276" w:lineRule="auto"/>
        <w:ind w:firstLine="851"/>
        <w:jc w:val="both"/>
        <w:rPr>
          <w:rFonts w:ascii="Cambria" w:eastAsia="Calibri" w:hAnsi="Cambria"/>
          <w:bCs/>
          <w:sz w:val="24"/>
          <w:szCs w:val="24"/>
        </w:rPr>
      </w:pPr>
      <w:r>
        <w:rPr>
          <w:rFonts w:ascii="Cambria" w:eastAsia="Calibri" w:hAnsi="Cambria"/>
          <w:bCs/>
          <w:sz w:val="24"/>
          <w:szCs w:val="24"/>
        </w:rPr>
        <w:t>As quantidades estimadas refletem a necessidade anual de utilização dos veículos durante o período de vigência contratual, sendo consideradas suficientes para assegurar a continuidade das atividades administrativas, operacionais, educacionais, de saúde, infraestrutura, agricultura e apoio institucional desenvolvidas pelo Município.</w:t>
      </w:r>
    </w:p>
    <w:p>
      <w:pPr>
        <w:spacing w:line="276" w:lineRule="auto"/>
        <w:ind w:firstLine="851"/>
        <w:jc w:val="both"/>
        <w:rPr>
          <w:rFonts w:ascii="Cambria" w:eastAsia="Calibri" w:hAnsi="Cambria"/>
          <w:bCs/>
          <w:sz w:val="24"/>
          <w:szCs w:val="24"/>
        </w:rPr>
      </w:pPr>
      <w:r>
        <w:rPr>
          <w:rFonts w:ascii="Cambria" w:eastAsia="Calibri" w:hAnsi="Cambria"/>
          <w:bCs/>
          <w:sz w:val="24"/>
          <w:szCs w:val="24"/>
        </w:rPr>
        <w:t>A centralização das demandas em uma única contratação possibilita maior poder de negociação junto ao mercado, redução dos custos administrativos decorrentes da realização de múltiplos procedimentos licitatórios, padronização da gestão contratual e obtenção de economia de escala, atendendo aos princípios da eficiência, economicidade e planejamento previstos na Lei Federal nº 14.133/2021.</w:t>
      </w:r>
    </w:p>
    <w:p>
      <w:pPr>
        <w:spacing w:line="276" w:lineRule="auto"/>
        <w:jc w:val="both"/>
        <w:rPr>
          <w:rFonts w:ascii="Cambria" w:eastAsia="Calibri" w:hAnsi="Cambria"/>
          <w:b/>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5. LEVANTAMENTO DE MERCADO, QUE CONSISTE NA ANÁLISE DAS ALTERNATIVAS POSSÍVEIS, E JUSTIFICATIVA TÉCNICA E ECONÔMICA DA ESCOLHA DO TIPO DE SOLUÇÃO A CONTRATAR:</w:t>
      </w:r>
    </w:p>
    <w:p>
      <w:pPr>
        <w:spacing w:line="276" w:lineRule="auto"/>
        <w:ind w:firstLine="851"/>
        <w:jc w:val="both"/>
        <w:rPr>
          <w:rFonts w:ascii="Cambria" w:hAnsi="Cambria"/>
          <w:sz w:val="24"/>
          <w:szCs w:val="24"/>
          <w:lang w:eastAsia="pt-BR"/>
        </w:rPr>
      </w:pPr>
      <w:r>
        <w:rPr>
          <w:rFonts w:ascii="Cambria" w:hAnsi="Cambria"/>
          <w:sz w:val="24"/>
          <w:szCs w:val="24"/>
          <w:lang w:eastAsia="pt-BR"/>
        </w:rPr>
        <w:t>Com o objetivo de identificar a solução mais adequada para atendimento das necessidades de transporte das diversas Secretarias do Município de Miraíma/CE, foram analisadas as alternativas disponíveis no mercado, considerando aspectos técnicos, operacionais, econômicos e administrativos.</w:t>
      </w:r>
    </w:p>
    <w:p>
      <w:pPr>
        <w:spacing w:line="276" w:lineRule="auto"/>
        <w:jc w:val="both"/>
        <w:rPr>
          <w:rFonts w:ascii="Cambria" w:hAnsi="Cambria"/>
          <w:b/>
          <w:bCs/>
          <w:sz w:val="24"/>
          <w:szCs w:val="24"/>
          <w:lang w:eastAsia="pt-BR"/>
        </w:rPr>
      </w:pPr>
      <w:r>
        <w:rPr>
          <w:rFonts w:ascii="Cambria" w:hAnsi="Cambria"/>
          <w:b/>
          <w:bCs/>
          <w:sz w:val="24"/>
          <w:szCs w:val="24"/>
          <w:lang w:eastAsia="pt-BR"/>
        </w:rPr>
        <w:t>Alternativa 1 – Locação de Veículos</w:t>
      </w:r>
    </w:p>
    <w:p>
      <w:pPr>
        <w:spacing w:line="276" w:lineRule="auto"/>
        <w:jc w:val="both"/>
        <w:rPr>
          <w:rFonts w:ascii="Cambria" w:hAnsi="Cambria"/>
          <w:sz w:val="24"/>
          <w:szCs w:val="24"/>
          <w:lang w:eastAsia="pt-BR"/>
        </w:rPr>
      </w:pPr>
      <w:r>
        <w:rPr>
          <w:rFonts w:ascii="Cambria" w:hAnsi="Cambria"/>
          <w:b/>
          <w:bCs/>
          <w:sz w:val="24"/>
          <w:szCs w:val="24"/>
          <w:lang w:eastAsia="pt-BR"/>
        </w:rPr>
        <w:t>Descrição:</w:t>
      </w:r>
      <w:r>
        <w:rPr>
          <w:rFonts w:ascii="Cambria" w:hAnsi="Cambria"/>
          <w:sz w:val="24"/>
          <w:szCs w:val="24"/>
          <w:lang w:eastAsia="pt-BR"/>
        </w:rPr>
        <w:br/>
        <w:t>Consiste na contratação de empresa especializada para disponibilização de veículos conforme especificações previamente definidas pela Administração, permanecendo sob responsabilidade da contratada os custos relativos à manutenção preventiva e corretiva, reposição de peças, substituição de veículos em caso de indisponibilidade, licenciamento e demais despesas inerentes à propriedade da frota, exceto combustível, quando previsto em contrato.</w:t>
      </w:r>
    </w:p>
    <w:p>
      <w:pPr>
        <w:spacing w:line="276" w:lineRule="auto"/>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Vantagens:</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Disponibilização imediata dos veículos necessários à execução dos serviços públicos;</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Redução dos custos com aquisição de bens permanentes;</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Eliminação de despesas relacionadas à depreciação da frota;</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Responsabilidade da contratada pela manutenção preventiva e corretiva;</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Possibilidade de substituição rápida dos veículos em caso de falhas ou indisponibilidade;</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Maior flexibilidade para adequação da frota às necessidades da Administração;</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lastRenderedPageBreak/>
        <w:t>Redução dos encargos administrativos relacionados à gestão patrimonial dos veículos;</w:t>
      </w:r>
    </w:p>
    <w:p>
      <w:pPr>
        <w:numPr>
          <w:ilvl w:val="0"/>
          <w:numId w:val="7"/>
        </w:numPr>
        <w:spacing w:line="276" w:lineRule="auto"/>
        <w:jc w:val="both"/>
        <w:rPr>
          <w:rFonts w:ascii="Cambria" w:hAnsi="Cambria"/>
          <w:sz w:val="24"/>
          <w:szCs w:val="24"/>
          <w:lang w:eastAsia="pt-BR"/>
        </w:rPr>
      </w:pPr>
      <w:r>
        <w:rPr>
          <w:rFonts w:ascii="Cambria" w:hAnsi="Cambria"/>
          <w:sz w:val="24"/>
          <w:szCs w:val="24"/>
          <w:lang w:eastAsia="pt-BR"/>
        </w:rPr>
        <w:t>Melhor previsibilidade orçamentária dos custos.</w:t>
      </w:r>
    </w:p>
    <w:p>
      <w:pPr>
        <w:spacing w:line="276" w:lineRule="auto"/>
        <w:ind w:left="720"/>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Desvantagens:</w:t>
      </w:r>
    </w:p>
    <w:p>
      <w:pPr>
        <w:numPr>
          <w:ilvl w:val="0"/>
          <w:numId w:val="8"/>
        </w:numPr>
        <w:spacing w:line="276" w:lineRule="auto"/>
        <w:jc w:val="both"/>
        <w:rPr>
          <w:rFonts w:ascii="Cambria" w:hAnsi="Cambria"/>
          <w:sz w:val="24"/>
          <w:szCs w:val="24"/>
          <w:lang w:eastAsia="pt-BR"/>
        </w:rPr>
      </w:pPr>
      <w:r>
        <w:rPr>
          <w:rFonts w:ascii="Cambria" w:hAnsi="Cambria"/>
          <w:sz w:val="24"/>
          <w:szCs w:val="24"/>
          <w:lang w:eastAsia="pt-BR"/>
        </w:rPr>
        <w:t>Dependência contratual da empresa prestadora dos serviços;</w:t>
      </w:r>
    </w:p>
    <w:p>
      <w:pPr>
        <w:numPr>
          <w:ilvl w:val="0"/>
          <w:numId w:val="8"/>
        </w:numPr>
        <w:spacing w:line="276" w:lineRule="auto"/>
        <w:jc w:val="both"/>
        <w:rPr>
          <w:rFonts w:ascii="Cambria" w:hAnsi="Cambria"/>
          <w:sz w:val="24"/>
          <w:szCs w:val="24"/>
          <w:lang w:eastAsia="pt-BR"/>
        </w:rPr>
      </w:pPr>
      <w:r>
        <w:rPr>
          <w:rFonts w:ascii="Cambria" w:hAnsi="Cambria"/>
          <w:sz w:val="24"/>
          <w:szCs w:val="24"/>
          <w:lang w:eastAsia="pt-BR"/>
        </w:rPr>
        <w:t>Necessidade de fiscalização contínua da execução contratual;</w:t>
      </w:r>
    </w:p>
    <w:p>
      <w:pPr>
        <w:numPr>
          <w:ilvl w:val="0"/>
          <w:numId w:val="8"/>
        </w:numPr>
        <w:spacing w:line="276" w:lineRule="auto"/>
        <w:jc w:val="both"/>
        <w:rPr>
          <w:rFonts w:ascii="Cambria" w:hAnsi="Cambria"/>
          <w:sz w:val="24"/>
          <w:szCs w:val="24"/>
          <w:lang w:eastAsia="pt-BR"/>
        </w:rPr>
      </w:pPr>
      <w:r>
        <w:rPr>
          <w:rFonts w:ascii="Cambria" w:hAnsi="Cambria"/>
          <w:sz w:val="24"/>
          <w:szCs w:val="24"/>
          <w:lang w:eastAsia="pt-BR"/>
        </w:rPr>
        <w:t>Pagamentos mensais durante a vigência do contrato.</w:t>
      </w:r>
    </w:p>
    <w:p>
      <w:pPr>
        <w:spacing w:line="276" w:lineRule="auto"/>
        <w:ind w:left="720"/>
        <w:jc w:val="both"/>
        <w:rPr>
          <w:rFonts w:ascii="Cambria" w:hAnsi="Cambria"/>
          <w:sz w:val="24"/>
          <w:szCs w:val="24"/>
          <w:lang w:eastAsia="pt-BR"/>
        </w:rPr>
      </w:pPr>
    </w:p>
    <w:p>
      <w:pPr>
        <w:spacing w:line="276" w:lineRule="auto"/>
        <w:jc w:val="both"/>
        <w:rPr>
          <w:rFonts w:ascii="Cambria" w:hAnsi="Cambria"/>
          <w:b/>
          <w:bCs/>
          <w:sz w:val="24"/>
          <w:szCs w:val="24"/>
          <w:lang w:eastAsia="pt-BR"/>
        </w:rPr>
      </w:pPr>
      <w:r>
        <w:rPr>
          <w:rFonts w:ascii="Cambria" w:hAnsi="Cambria"/>
          <w:b/>
          <w:bCs/>
          <w:sz w:val="24"/>
          <w:szCs w:val="24"/>
          <w:lang w:eastAsia="pt-BR"/>
        </w:rPr>
        <w:t>Alternativa 2 – Aquisição de Frota Própria</w:t>
      </w:r>
    </w:p>
    <w:p>
      <w:pPr>
        <w:spacing w:line="276" w:lineRule="auto"/>
        <w:jc w:val="both"/>
        <w:rPr>
          <w:rFonts w:ascii="Cambria" w:hAnsi="Cambria"/>
          <w:sz w:val="24"/>
          <w:szCs w:val="24"/>
          <w:lang w:eastAsia="pt-BR"/>
        </w:rPr>
      </w:pPr>
      <w:r>
        <w:rPr>
          <w:rFonts w:ascii="Cambria" w:hAnsi="Cambria"/>
          <w:b/>
          <w:bCs/>
          <w:sz w:val="24"/>
          <w:szCs w:val="24"/>
          <w:lang w:eastAsia="pt-BR"/>
        </w:rPr>
        <w:t>Descrição:</w:t>
      </w:r>
      <w:r>
        <w:rPr>
          <w:rFonts w:ascii="Cambria" w:hAnsi="Cambria"/>
          <w:sz w:val="24"/>
          <w:szCs w:val="24"/>
          <w:lang w:eastAsia="pt-BR"/>
        </w:rPr>
        <w:br/>
        <w:t>Consiste na aquisição dos veículos pelo Município, incorporando-os ao patrimônio público para utilização direta pelas Secretarias Municipais.</w:t>
      </w:r>
    </w:p>
    <w:p>
      <w:pPr>
        <w:spacing w:line="276" w:lineRule="auto"/>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Vantagens:</w:t>
      </w:r>
    </w:p>
    <w:p>
      <w:pPr>
        <w:numPr>
          <w:ilvl w:val="0"/>
          <w:numId w:val="9"/>
        </w:numPr>
        <w:spacing w:line="276" w:lineRule="auto"/>
        <w:jc w:val="both"/>
        <w:rPr>
          <w:rFonts w:ascii="Cambria" w:hAnsi="Cambria"/>
          <w:sz w:val="24"/>
          <w:szCs w:val="24"/>
          <w:lang w:eastAsia="pt-BR"/>
        </w:rPr>
      </w:pPr>
      <w:r>
        <w:rPr>
          <w:rFonts w:ascii="Cambria" w:hAnsi="Cambria"/>
          <w:sz w:val="24"/>
          <w:szCs w:val="24"/>
          <w:lang w:eastAsia="pt-BR"/>
        </w:rPr>
        <w:t>Integração dos veículos ao patrimônio municipal;</w:t>
      </w:r>
    </w:p>
    <w:p>
      <w:pPr>
        <w:numPr>
          <w:ilvl w:val="0"/>
          <w:numId w:val="9"/>
        </w:numPr>
        <w:spacing w:line="276" w:lineRule="auto"/>
        <w:jc w:val="both"/>
        <w:rPr>
          <w:rFonts w:ascii="Cambria" w:hAnsi="Cambria"/>
          <w:sz w:val="24"/>
          <w:szCs w:val="24"/>
          <w:lang w:eastAsia="pt-BR"/>
        </w:rPr>
      </w:pPr>
      <w:r>
        <w:rPr>
          <w:rFonts w:ascii="Cambria" w:hAnsi="Cambria"/>
          <w:sz w:val="24"/>
          <w:szCs w:val="24"/>
          <w:lang w:eastAsia="pt-BR"/>
        </w:rPr>
        <w:t>Maior autonomia sobre a utilização da frota;</w:t>
      </w:r>
    </w:p>
    <w:p>
      <w:pPr>
        <w:numPr>
          <w:ilvl w:val="0"/>
          <w:numId w:val="9"/>
        </w:numPr>
        <w:spacing w:line="276" w:lineRule="auto"/>
        <w:jc w:val="both"/>
        <w:rPr>
          <w:rFonts w:ascii="Cambria" w:hAnsi="Cambria"/>
          <w:sz w:val="24"/>
          <w:szCs w:val="24"/>
          <w:lang w:eastAsia="pt-BR"/>
        </w:rPr>
      </w:pPr>
      <w:r>
        <w:rPr>
          <w:rFonts w:ascii="Cambria" w:hAnsi="Cambria"/>
          <w:sz w:val="24"/>
          <w:szCs w:val="24"/>
          <w:lang w:eastAsia="pt-BR"/>
        </w:rPr>
        <w:t>Possibilidade de utilização dos veículos por período superior à vigência contratual.</w:t>
      </w:r>
    </w:p>
    <w:p>
      <w:pPr>
        <w:spacing w:line="276" w:lineRule="auto"/>
        <w:ind w:left="720"/>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Desvantagens:</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Elevado investimento inicial para aquisição dos veículos;</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Necessidade de disponibilidade orçamentária significativa;</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Custos permanentes com manutenção preventiva e corretiva;</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Gastos com seguros, licenciamento e renovação da frota;</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Depreciação patrimonial dos veículos ao longo do tempo;</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Necessidade de estrutura administrativa para gerenciamento da frota;</w:t>
      </w:r>
    </w:p>
    <w:p>
      <w:pPr>
        <w:numPr>
          <w:ilvl w:val="0"/>
          <w:numId w:val="10"/>
        </w:numPr>
        <w:spacing w:line="276" w:lineRule="auto"/>
        <w:jc w:val="both"/>
        <w:rPr>
          <w:rFonts w:ascii="Cambria" w:hAnsi="Cambria"/>
          <w:sz w:val="24"/>
          <w:szCs w:val="24"/>
          <w:lang w:eastAsia="pt-BR"/>
        </w:rPr>
      </w:pPr>
      <w:r>
        <w:rPr>
          <w:rFonts w:ascii="Cambria" w:hAnsi="Cambria"/>
          <w:sz w:val="24"/>
          <w:szCs w:val="24"/>
          <w:lang w:eastAsia="pt-BR"/>
        </w:rPr>
        <w:t>Maior risco de indisponibilidade dos veículos em caso de falhas mecânicas.</w:t>
      </w:r>
    </w:p>
    <w:p>
      <w:pPr>
        <w:spacing w:line="276" w:lineRule="auto"/>
        <w:ind w:left="720"/>
        <w:jc w:val="both"/>
        <w:rPr>
          <w:rFonts w:ascii="Cambria" w:hAnsi="Cambria"/>
          <w:sz w:val="24"/>
          <w:szCs w:val="24"/>
          <w:lang w:eastAsia="pt-BR"/>
        </w:rPr>
      </w:pPr>
    </w:p>
    <w:p>
      <w:pPr>
        <w:spacing w:line="276" w:lineRule="auto"/>
        <w:jc w:val="both"/>
        <w:rPr>
          <w:rFonts w:ascii="Cambria" w:hAnsi="Cambria"/>
          <w:b/>
          <w:bCs/>
          <w:sz w:val="24"/>
          <w:szCs w:val="24"/>
          <w:lang w:eastAsia="pt-BR"/>
        </w:rPr>
      </w:pPr>
      <w:r>
        <w:rPr>
          <w:rFonts w:ascii="Cambria" w:hAnsi="Cambria"/>
          <w:b/>
          <w:bCs/>
          <w:sz w:val="24"/>
          <w:szCs w:val="24"/>
          <w:lang w:eastAsia="pt-BR"/>
        </w:rPr>
        <w:t>Alternativa 3 – Utilização de Serviços de Transporte por Demanda</w:t>
      </w:r>
    </w:p>
    <w:p>
      <w:pPr>
        <w:spacing w:line="276" w:lineRule="auto"/>
        <w:jc w:val="both"/>
        <w:rPr>
          <w:rFonts w:ascii="Cambria" w:hAnsi="Cambria"/>
          <w:sz w:val="24"/>
          <w:szCs w:val="24"/>
          <w:lang w:eastAsia="pt-BR"/>
        </w:rPr>
      </w:pPr>
      <w:r>
        <w:rPr>
          <w:rFonts w:ascii="Cambria" w:hAnsi="Cambria"/>
          <w:b/>
          <w:bCs/>
          <w:sz w:val="24"/>
          <w:szCs w:val="24"/>
          <w:lang w:eastAsia="pt-BR"/>
        </w:rPr>
        <w:t>Descrição:</w:t>
      </w:r>
      <w:r>
        <w:rPr>
          <w:rFonts w:ascii="Cambria" w:hAnsi="Cambria"/>
          <w:sz w:val="24"/>
          <w:szCs w:val="24"/>
          <w:lang w:eastAsia="pt-BR"/>
        </w:rPr>
        <w:br/>
        <w:t>Consiste na contratação eventual de serviços de transporte mediante solicitação específica para cada necessidade de deslocamento, sem disponibilização permanente de veículos à Administração.</w:t>
      </w:r>
    </w:p>
    <w:p>
      <w:pPr>
        <w:spacing w:line="276" w:lineRule="auto"/>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Vantagens:</w:t>
      </w:r>
    </w:p>
    <w:p>
      <w:pPr>
        <w:numPr>
          <w:ilvl w:val="0"/>
          <w:numId w:val="11"/>
        </w:numPr>
        <w:spacing w:line="276" w:lineRule="auto"/>
        <w:jc w:val="both"/>
        <w:rPr>
          <w:rFonts w:ascii="Cambria" w:hAnsi="Cambria"/>
          <w:sz w:val="24"/>
          <w:szCs w:val="24"/>
          <w:lang w:eastAsia="pt-BR"/>
        </w:rPr>
      </w:pPr>
      <w:r>
        <w:rPr>
          <w:rFonts w:ascii="Cambria" w:hAnsi="Cambria"/>
          <w:sz w:val="24"/>
          <w:szCs w:val="24"/>
          <w:lang w:eastAsia="pt-BR"/>
        </w:rPr>
        <w:t>Ausência de custos permanentes com frota;</w:t>
      </w:r>
    </w:p>
    <w:p>
      <w:pPr>
        <w:numPr>
          <w:ilvl w:val="0"/>
          <w:numId w:val="11"/>
        </w:numPr>
        <w:spacing w:line="276" w:lineRule="auto"/>
        <w:jc w:val="both"/>
        <w:rPr>
          <w:rFonts w:ascii="Cambria" w:hAnsi="Cambria"/>
          <w:sz w:val="24"/>
          <w:szCs w:val="24"/>
          <w:lang w:eastAsia="pt-BR"/>
        </w:rPr>
      </w:pPr>
      <w:r>
        <w:rPr>
          <w:rFonts w:ascii="Cambria" w:hAnsi="Cambria"/>
          <w:sz w:val="24"/>
          <w:szCs w:val="24"/>
          <w:lang w:eastAsia="pt-BR"/>
        </w:rPr>
        <w:t>Pagamento apenas pelos serviços efetivamente utilizados;</w:t>
      </w:r>
    </w:p>
    <w:p>
      <w:pPr>
        <w:numPr>
          <w:ilvl w:val="0"/>
          <w:numId w:val="11"/>
        </w:numPr>
        <w:spacing w:line="276" w:lineRule="auto"/>
        <w:jc w:val="both"/>
        <w:rPr>
          <w:rFonts w:ascii="Cambria" w:hAnsi="Cambria"/>
          <w:sz w:val="24"/>
          <w:szCs w:val="24"/>
          <w:lang w:eastAsia="pt-BR"/>
        </w:rPr>
      </w:pPr>
      <w:r>
        <w:rPr>
          <w:rFonts w:ascii="Cambria" w:hAnsi="Cambria"/>
          <w:sz w:val="24"/>
          <w:szCs w:val="24"/>
          <w:lang w:eastAsia="pt-BR"/>
        </w:rPr>
        <w:t>Dispensa da gestão direta dos veículos.</w:t>
      </w:r>
    </w:p>
    <w:p>
      <w:pPr>
        <w:spacing w:line="276" w:lineRule="auto"/>
        <w:ind w:left="720"/>
        <w:jc w:val="both"/>
        <w:rPr>
          <w:rFonts w:ascii="Cambria" w:hAnsi="Cambria"/>
          <w:sz w:val="24"/>
          <w:szCs w:val="24"/>
          <w:lang w:eastAsia="pt-BR"/>
        </w:rPr>
      </w:pPr>
    </w:p>
    <w:p>
      <w:pPr>
        <w:spacing w:line="276" w:lineRule="auto"/>
        <w:jc w:val="both"/>
        <w:rPr>
          <w:rFonts w:ascii="Cambria" w:hAnsi="Cambria"/>
          <w:sz w:val="24"/>
          <w:szCs w:val="24"/>
          <w:lang w:eastAsia="pt-BR"/>
        </w:rPr>
      </w:pPr>
      <w:r>
        <w:rPr>
          <w:rFonts w:ascii="Cambria" w:hAnsi="Cambria"/>
          <w:b/>
          <w:bCs/>
          <w:sz w:val="24"/>
          <w:szCs w:val="24"/>
          <w:lang w:eastAsia="pt-BR"/>
        </w:rPr>
        <w:t>Desvantagens:</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lastRenderedPageBreak/>
        <w:t>Inviabilidade operacional para atendimento contínuo das Secretarias;</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t>Dependência da disponibilidade de prestadores no momento da demanda;</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t>Dificuldade de atendimento em áreas rurais e localidades mais distantes;</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t>Risco de atrasos na execução dos serviços públicos;</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t>Ausência de veículos permanentemente disponíveis para atividades essenciais;</w:t>
      </w:r>
    </w:p>
    <w:p>
      <w:pPr>
        <w:numPr>
          <w:ilvl w:val="0"/>
          <w:numId w:val="12"/>
        </w:numPr>
        <w:spacing w:line="276" w:lineRule="auto"/>
        <w:jc w:val="both"/>
        <w:rPr>
          <w:rFonts w:ascii="Cambria" w:hAnsi="Cambria"/>
          <w:sz w:val="24"/>
          <w:szCs w:val="24"/>
          <w:lang w:eastAsia="pt-BR"/>
        </w:rPr>
      </w:pPr>
      <w:r>
        <w:rPr>
          <w:rFonts w:ascii="Cambria" w:hAnsi="Cambria"/>
          <w:sz w:val="24"/>
          <w:szCs w:val="24"/>
          <w:lang w:eastAsia="pt-BR"/>
        </w:rPr>
        <w:t>Possível aumento dos custos em razão da elevada frequência de utilização.</w:t>
      </w:r>
    </w:p>
    <w:p>
      <w:pPr>
        <w:spacing w:line="276" w:lineRule="auto"/>
        <w:ind w:left="720"/>
        <w:jc w:val="both"/>
        <w:rPr>
          <w:rFonts w:ascii="Cambria" w:hAnsi="Cambria"/>
          <w:sz w:val="24"/>
          <w:szCs w:val="24"/>
          <w:lang w:eastAsia="pt-BR"/>
        </w:rPr>
      </w:pPr>
    </w:p>
    <w:p>
      <w:pPr>
        <w:spacing w:line="276" w:lineRule="auto"/>
        <w:jc w:val="both"/>
        <w:rPr>
          <w:rFonts w:ascii="Cambria" w:hAnsi="Cambria"/>
          <w:b/>
          <w:bCs/>
          <w:sz w:val="24"/>
          <w:szCs w:val="24"/>
          <w:lang w:eastAsia="pt-BR"/>
        </w:rPr>
      </w:pPr>
      <w:r>
        <w:rPr>
          <w:rFonts w:ascii="Cambria" w:hAnsi="Cambria"/>
          <w:b/>
          <w:bCs/>
          <w:sz w:val="24"/>
          <w:szCs w:val="24"/>
          <w:lang w:eastAsia="pt-BR"/>
        </w:rPr>
        <w:t>Justificativa Técnica e Econômica da Solução Escolhida</w:t>
      </w:r>
    </w:p>
    <w:p>
      <w:pPr>
        <w:spacing w:line="276" w:lineRule="auto"/>
        <w:ind w:firstLine="851"/>
        <w:jc w:val="both"/>
        <w:rPr>
          <w:rFonts w:ascii="Cambria" w:hAnsi="Cambria"/>
          <w:sz w:val="24"/>
          <w:szCs w:val="24"/>
          <w:lang w:eastAsia="pt-BR"/>
        </w:rPr>
      </w:pPr>
      <w:r>
        <w:rPr>
          <w:rFonts w:ascii="Cambria" w:hAnsi="Cambria"/>
          <w:sz w:val="24"/>
          <w:szCs w:val="24"/>
          <w:lang w:eastAsia="pt-BR"/>
        </w:rPr>
        <w:t xml:space="preserve">Após análise das alternativas disponíveis, verifica-se que a </w:t>
      </w:r>
      <w:r>
        <w:rPr>
          <w:rFonts w:ascii="Cambria" w:hAnsi="Cambria"/>
          <w:b/>
          <w:bCs/>
          <w:sz w:val="24"/>
          <w:szCs w:val="24"/>
          <w:lang w:eastAsia="pt-BR"/>
        </w:rPr>
        <w:t>locação de veículos</w:t>
      </w:r>
      <w:r>
        <w:rPr>
          <w:rFonts w:ascii="Cambria" w:hAnsi="Cambria"/>
          <w:sz w:val="24"/>
          <w:szCs w:val="24"/>
          <w:lang w:eastAsia="pt-BR"/>
        </w:rPr>
        <w:t xml:space="preserve"> representa a solução mais vantajosa para a Administração Municipal, considerando a necessidade de disponibilização contínua e imediata de veículos de diferentes categorias para atendimento das demandas das Secretarias de Saúde, Educação, Infraestrutura e Serviços Públicos, Agricultura e Meio Ambiente e Gabinete.</w:t>
      </w:r>
    </w:p>
    <w:p>
      <w:pPr>
        <w:spacing w:line="276" w:lineRule="auto"/>
        <w:ind w:firstLine="851"/>
        <w:jc w:val="both"/>
        <w:rPr>
          <w:rFonts w:ascii="Cambria" w:hAnsi="Cambria"/>
          <w:sz w:val="24"/>
          <w:szCs w:val="24"/>
          <w:lang w:eastAsia="pt-BR"/>
        </w:rPr>
      </w:pPr>
      <w:r>
        <w:rPr>
          <w:rFonts w:ascii="Cambria" w:hAnsi="Cambria"/>
          <w:sz w:val="24"/>
          <w:szCs w:val="24"/>
          <w:lang w:eastAsia="pt-BR"/>
        </w:rPr>
        <w:t>Sob o aspecto técnico, a locação permite que a Administração disponha de frota diversificada, atualizada e em condições adequadas de uso, sem a necessidade de estrutura própria para manutenção e gerenciamento dos veículos.</w:t>
      </w:r>
    </w:p>
    <w:p>
      <w:pPr>
        <w:spacing w:line="276" w:lineRule="auto"/>
        <w:ind w:firstLine="851"/>
        <w:jc w:val="both"/>
        <w:rPr>
          <w:rFonts w:ascii="Cambria" w:hAnsi="Cambria"/>
          <w:sz w:val="24"/>
          <w:szCs w:val="24"/>
          <w:lang w:eastAsia="pt-BR"/>
        </w:rPr>
      </w:pPr>
      <w:r>
        <w:rPr>
          <w:rFonts w:ascii="Cambria" w:hAnsi="Cambria"/>
          <w:sz w:val="24"/>
          <w:szCs w:val="24"/>
          <w:lang w:eastAsia="pt-BR"/>
        </w:rPr>
        <w:t>Sob o aspecto econômico, a solução evita elevado investimento inicial na aquisição de veículos, reduz despesas com manutenção, depreciação, seguros e reposição da frota, além de proporcionar maior previsibilidade dos gastos públicos ao longo da execução contratual.</w:t>
      </w:r>
    </w:p>
    <w:p>
      <w:pPr>
        <w:spacing w:line="276" w:lineRule="auto"/>
        <w:ind w:firstLine="851"/>
        <w:jc w:val="both"/>
        <w:rPr>
          <w:rFonts w:ascii="Cambria" w:hAnsi="Cambria"/>
          <w:sz w:val="24"/>
          <w:szCs w:val="24"/>
          <w:lang w:eastAsia="pt-BR"/>
        </w:rPr>
      </w:pPr>
      <w:r>
        <w:rPr>
          <w:rFonts w:ascii="Cambria" w:hAnsi="Cambria"/>
          <w:sz w:val="24"/>
          <w:szCs w:val="24"/>
          <w:lang w:eastAsia="pt-BR"/>
        </w:rPr>
        <w:t xml:space="preserve">Dessa forma, conclui-se que a </w:t>
      </w:r>
      <w:r>
        <w:rPr>
          <w:rFonts w:ascii="Cambria" w:hAnsi="Cambria"/>
          <w:b/>
          <w:bCs/>
          <w:sz w:val="24"/>
          <w:szCs w:val="24"/>
          <w:lang w:eastAsia="pt-BR"/>
        </w:rPr>
        <w:t>locação de veículos</w:t>
      </w:r>
      <w:r>
        <w:rPr>
          <w:rFonts w:ascii="Cambria" w:hAnsi="Cambria"/>
          <w:sz w:val="24"/>
          <w:szCs w:val="24"/>
          <w:lang w:eastAsia="pt-BR"/>
        </w:rPr>
        <w:t xml:space="preserve"> é a alternativa que melhor atende ao interesse público, apresentando a melhor relação entre custo, benefício, eficiência operacional e continuidade dos serviços públicos, sendo, portanto, a solução mais adequada para atendimento da necessidade identificada.</w:t>
      </w:r>
    </w:p>
    <w:p>
      <w:pPr>
        <w:spacing w:line="276" w:lineRule="auto"/>
        <w:jc w:val="both"/>
        <w:rPr>
          <w:rFonts w:ascii="Cambria" w:eastAsia="Calibri" w:hAnsi="Cambria"/>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6. ESTIMATIVA DO VALOR DA CONTRATAÇÃO;</w:t>
      </w:r>
    </w:p>
    <w:p>
      <w:pPr>
        <w:spacing w:line="276" w:lineRule="auto"/>
        <w:ind w:firstLine="567"/>
        <w:jc w:val="both"/>
        <w:rPr>
          <w:rFonts w:ascii="Cambria" w:hAnsi="Cambria"/>
          <w:sz w:val="24"/>
          <w:szCs w:val="24"/>
        </w:rPr>
      </w:pPr>
      <w:r>
        <w:rPr>
          <w:rFonts w:ascii="Cambria" w:hAnsi="Cambria"/>
          <w:sz w:val="24"/>
          <w:szCs w:val="24"/>
        </w:rPr>
        <w:t>A estimativa do valor da contratação foi estabelecida com base nas previsões constantes no Plano de Contratações Anual (PCA) do Município de Miraíma/CE, elaborado pelas Secretarias demandantes para o exercício correspondente, observando as necessidades operacionais previamente identificadas e o planejamento orçamentário da Administração Municipal.</w:t>
      </w:r>
    </w:p>
    <w:p>
      <w:pPr>
        <w:spacing w:line="276" w:lineRule="auto"/>
        <w:ind w:firstLine="567"/>
        <w:jc w:val="both"/>
        <w:rPr>
          <w:rFonts w:ascii="Cambria" w:hAnsi="Cambria"/>
          <w:sz w:val="24"/>
          <w:szCs w:val="24"/>
        </w:rPr>
      </w:pPr>
      <w:r>
        <w:rPr>
          <w:rFonts w:ascii="Cambria" w:hAnsi="Cambria"/>
          <w:sz w:val="24"/>
          <w:szCs w:val="24"/>
        </w:rPr>
        <w:t>Para a presente contratação foram considerados os valores previstos pelas Secretarias participantes, conforme detalhamento a seguir:</w:t>
      </w:r>
    </w:p>
    <w:tbl>
      <w:tblPr>
        <w:tblW w:w="8500"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408"/>
        <w:gridCol w:w="1117"/>
        <w:gridCol w:w="2975"/>
      </w:tblGrid>
      <w:tr>
        <w:trPr>
          <w:tblCellSpacing w:w="15" w:type="dxa"/>
        </w:trPr>
        <w:tc>
          <w:tcPr>
            <w:tcW w:w="0" w:type="auto"/>
            <w:vAlign w:val="center"/>
            <w:hideMark/>
          </w:tcPr>
          <w:p>
            <w:pPr>
              <w:spacing w:line="276" w:lineRule="auto"/>
              <w:ind w:firstLine="567"/>
              <w:jc w:val="both"/>
              <w:rPr>
                <w:rFonts w:ascii="Cambria" w:hAnsi="Cambria"/>
                <w:b/>
                <w:bCs/>
                <w:sz w:val="24"/>
                <w:szCs w:val="24"/>
              </w:rPr>
            </w:pPr>
            <w:r>
              <w:rPr>
                <w:rFonts w:ascii="Cambria" w:hAnsi="Cambria"/>
                <w:b/>
                <w:bCs/>
                <w:sz w:val="24"/>
                <w:szCs w:val="24"/>
              </w:rPr>
              <w:t>Secretaria</w:t>
            </w:r>
          </w:p>
        </w:tc>
        <w:tc>
          <w:tcPr>
            <w:tcW w:w="0" w:type="auto"/>
            <w:vAlign w:val="center"/>
            <w:hideMark/>
          </w:tcPr>
          <w:p>
            <w:pPr>
              <w:spacing w:line="276" w:lineRule="auto"/>
              <w:ind w:firstLine="220"/>
              <w:rPr>
                <w:rFonts w:ascii="Cambria" w:hAnsi="Cambria"/>
                <w:b/>
                <w:bCs/>
                <w:sz w:val="24"/>
                <w:szCs w:val="24"/>
              </w:rPr>
            </w:pPr>
            <w:r>
              <w:rPr>
                <w:rFonts w:ascii="Cambria" w:hAnsi="Cambria"/>
                <w:b/>
                <w:bCs/>
                <w:sz w:val="24"/>
                <w:szCs w:val="24"/>
              </w:rPr>
              <w:t>ID PCA</w:t>
            </w:r>
          </w:p>
        </w:tc>
        <w:tc>
          <w:tcPr>
            <w:tcW w:w="2930" w:type="dxa"/>
            <w:vAlign w:val="center"/>
            <w:hideMark/>
          </w:tcPr>
          <w:p>
            <w:pPr>
              <w:spacing w:line="276" w:lineRule="auto"/>
              <w:ind w:firstLine="567"/>
              <w:jc w:val="both"/>
              <w:rPr>
                <w:rFonts w:ascii="Cambria" w:hAnsi="Cambria"/>
                <w:b/>
                <w:bCs/>
                <w:sz w:val="24"/>
                <w:szCs w:val="24"/>
              </w:rPr>
            </w:pPr>
            <w:r>
              <w:rPr>
                <w:rFonts w:ascii="Cambria" w:hAnsi="Cambria"/>
                <w:b/>
                <w:bCs/>
                <w:sz w:val="24"/>
                <w:szCs w:val="24"/>
              </w:rPr>
              <w:t>Valor Previsto (R$)</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sz w:val="24"/>
                <w:szCs w:val="24"/>
              </w:rPr>
              <w:t>Gabinete</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209</w:t>
            </w:r>
          </w:p>
        </w:tc>
        <w:tc>
          <w:tcPr>
            <w:tcW w:w="2930" w:type="dxa"/>
            <w:vAlign w:val="center"/>
            <w:hideMark/>
          </w:tcPr>
          <w:p>
            <w:pPr>
              <w:spacing w:line="276" w:lineRule="auto"/>
              <w:ind w:firstLine="567"/>
              <w:jc w:val="both"/>
              <w:rPr>
                <w:rFonts w:ascii="Cambria" w:hAnsi="Cambria"/>
                <w:sz w:val="24"/>
                <w:szCs w:val="24"/>
              </w:rPr>
            </w:pPr>
            <w:r>
              <w:rPr>
                <w:rFonts w:ascii="Cambria" w:hAnsi="Cambria"/>
                <w:sz w:val="24"/>
                <w:szCs w:val="24"/>
              </w:rPr>
              <w:t>233.000,00</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sz w:val="24"/>
                <w:szCs w:val="24"/>
              </w:rPr>
              <w:t>Infraestrutura e Serviços Públicos</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208</w:t>
            </w:r>
          </w:p>
        </w:tc>
        <w:tc>
          <w:tcPr>
            <w:tcW w:w="2930" w:type="dxa"/>
            <w:vAlign w:val="center"/>
            <w:hideMark/>
          </w:tcPr>
          <w:p>
            <w:pPr>
              <w:spacing w:line="276" w:lineRule="auto"/>
              <w:ind w:firstLine="567"/>
              <w:jc w:val="both"/>
              <w:rPr>
                <w:rFonts w:ascii="Cambria" w:hAnsi="Cambria"/>
                <w:sz w:val="24"/>
                <w:szCs w:val="24"/>
              </w:rPr>
            </w:pPr>
            <w:r>
              <w:rPr>
                <w:rFonts w:ascii="Cambria" w:hAnsi="Cambria"/>
                <w:sz w:val="24"/>
                <w:szCs w:val="24"/>
              </w:rPr>
              <w:t>420.000,00</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sz w:val="24"/>
                <w:szCs w:val="24"/>
              </w:rPr>
              <w:t>Educação</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213</w:t>
            </w:r>
          </w:p>
        </w:tc>
        <w:tc>
          <w:tcPr>
            <w:tcW w:w="2930" w:type="dxa"/>
            <w:vAlign w:val="center"/>
            <w:hideMark/>
          </w:tcPr>
          <w:p>
            <w:pPr>
              <w:spacing w:line="276" w:lineRule="auto"/>
              <w:ind w:firstLine="567"/>
              <w:jc w:val="both"/>
              <w:rPr>
                <w:rFonts w:ascii="Cambria" w:hAnsi="Cambria"/>
                <w:sz w:val="24"/>
                <w:szCs w:val="24"/>
              </w:rPr>
            </w:pPr>
            <w:r>
              <w:rPr>
                <w:rFonts w:ascii="Cambria" w:hAnsi="Cambria"/>
                <w:sz w:val="24"/>
                <w:szCs w:val="24"/>
              </w:rPr>
              <w:t>120.000,00</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sz w:val="24"/>
                <w:szCs w:val="24"/>
              </w:rPr>
              <w:t>Saúde</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217</w:t>
            </w:r>
          </w:p>
        </w:tc>
        <w:tc>
          <w:tcPr>
            <w:tcW w:w="2930" w:type="dxa"/>
            <w:vAlign w:val="center"/>
            <w:hideMark/>
          </w:tcPr>
          <w:p>
            <w:pPr>
              <w:spacing w:line="276" w:lineRule="auto"/>
              <w:ind w:firstLine="567"/>
              <w:jc w:val="both"/>
              <w:rPr>
                <w:rFonts w:ascii="Cambria" w:hAnsi="Cambria"/>
                <w:sz w:val="24"/>
                <w:szCs w:val="24"/>
              </w:rPr>
            </w:pPr>
            <w:r>
              <w:rPr>
                <w:rFonts w:ascii="Cambria" w:hAnsi="Cambria"/>
                <w:sz w:val="24"/>
                <w:szCs w:val="24"/>
              </w:rPr>
              <w:t>1.200.000,00</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sz w:val="24"/>
                <w:szCs w:val="24"/>
              </w:rPr>
              <w:lastRenderedPageBreak/>
              <w:t>Agricultura e Meio Ambiente</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212</w:t>
            </w:r>
          </w:p>
        </w:tc>
        <w:tc>
          <w:tcPr>
            <w:tcW w:w="2930" w:type="dxa"/>
            <w:vAlign w:val="center"/>
            <w:hideMark/>
          </w:tcPr>
          <w:p>
            <w:pPr>
              <w:spacing w:line="276" w:lineRule="auto"/>
              <w:ind w:firstLine="567"/>
              <w:jc w:val="both"/>
              <w:rPr>
                <w:rFonts w:ascii="Cambria" w:hAnsi="Cambria"/>
                <w:sz w:val="24"/>
                <w:szCs w:val="24"/>
              </w:rPr>
            </w:pPr>
            <w:r>
              <w:rPr>
                <w:rFonts w:ascii="Cambria" w:hAnsi="Cambria"/>
                <w:sz w:val="24"/>
                <w:szCs w:val="24"/>
              </w:rPr>
              <w:t>162.000,00</w:t>
            </w:r>
          </w:p>
        </w:tc>
      </w:tr>
      <w:tr>
        <w:trPr>
          <w:tblCellSpacing w:w="15" w:type="dxa"/>
        </w:trPr>
        <w:tc>
          <w:tcPr>
            <w:tcW w:w="0" w:type="auto"/>
            <w:vAlign w:val="center"/>
            <w:hideMark/>
          </w:tcPr>
          <w:p>
            <w:pPr>
              <w:spacing w:line="276" w:lineRule="auto"/>
              <w:ind w:firstLine="567"/>
              <w:jc w:val="both"/>
              <w:rPr>
                <w:rFonts w:ascii="Cambria" w:hAnsi="Cambria"/>
                <w:sz w:val="24"/>
                <w:szCs w:val="24"/>
              </w:rPr>
            </w:pPr>
            <w:r>
              <w:rPr>
                <w:rFonts w:ascii="Cambria" w:hAnsi="Cambria"/>
                <w:b/>
                <w:bCs/>
                <w:sz w:val="24"/>
                <w:szCs w:val="24"/>
              </w:rPr>
              <w:t>Total Estimado da Contratação</w:t>
            </w:r>
          </w:p>
        </w:tc>
        <w:tc>
          <w:tcPr>
            <w:tcW w:w="0" w:type="auto"/>
            <w:vAlign w:val="center"/>
            <w:hideMark/>
          </w:tcPr>
          <w:p>
            <w:pPr>
              <w:spacing w:line="276" w:lineRule="auto"/>
              <w:ind w:firstLine="220"/>
              <w:rPr>
                <w:rFonts w:ascii="Cambria" w:hAnsi="Cambria"/>
                <w:sz w:val="24"/>
                <w:szCs w:val="24"/>
              </w:rPr>
            </w:pPr>
            <w:r>
              <w:rPr>
                <w:rFonts w:ascii="Cambria" w:hAnsi="Cambria"/>
                <w:sz w:val="24"/>
                <w:szCs w:val="24"/>
              </w:rPr>
              <w:t>—</w:t>
            </w:r>
          </w:p>
        </w:tc>
        <w:tc>
          <w:tcPr>
            <w:tcW w:w="2930" w:type="dxa"/>
            <w:vAlign w:val="center"/>
            <w:hideMark/>
          </w:tcPr>
          <w:p>
            <w:pPr>
              <w:spacing w:line="276" w:lineRule="auto"/>
              <w:ind w:firstLine="567"/>
              <w:jc w:val="both"/>
              <w:rPr>
                <w:rFonts w:ascii="Cambria" w:hAnsi="Cambria"/>
                <w:sz w:val="24"/>
                <w:szCs w:val="24"/>
              </w:rPr>
            </w:pPr>
            <w:r>
              <w:rPr>
                <w:rFonts w:ascii="Cambria" w:hAnsi="Cambria"/>
                <w:b/>
                <w:bCs/>
                <w:sz w:val="24"/>
                <w:szCs w:val="24"/>
              </w:rPr>
              <w:t>2.135.000,00</w:t>
            </w:r>
          </w:p>
        </w:tc>
      </w:tr>
    </w:tbl>
    <w:p>
      <w:pPr>
        <w:spacing w:line="276" w:lineRule="auto"/>
        <w:ind w:firstLine="567"/>
        <w:jc w:val="both"/>
        <w:rPr>
          <w:rFonts w:ascii="Cambria" w:hAnsi="Cambria"/>
          <w:sz w:val="24"/>
          <w:szCs w:val="24"/>
        </w:rPr>
      </w:pPr>
      <w:r>
        <w:rPr>
          <w:rFonts w:ascii="Cambria" w:hAnsi="Cambria"/>
          <w:sz w:val="24"/>
          <w:szCs w:val="24"/>
        </w:rPr>
        <w:t xml:space="preserve">Dessa forma, considerando os valores consignados no Plano de Contratações Anual, estima-se que a presente contratação possua valor global de </w:t>
      </w:r>
      <w:r>
        <w:rPr>
          <w:rFonts w:ascii="Cambria" w:hAnsi="Cambria"/>
          <w:b/>
          <w:bCs/>
          <w:sz w:val="24"/>
          <w:szCs w:val="24"/>
        </w:rPr>
        <w:t>R$ 2.135.000,00 (dois milhões, cento e trinta e cinco mil reais)</w:t>
      </w:r>
      <w:r>
        <w:rPr>
          <w:rFonts w:ascii="Cambria" w:hAnsi="Cambria"/>
          <w:sz w:val="24"/>
          <w:szCs w:val="24"/>
        </w:rPr>
        <w:t>.</w:t>
      </w:r>
    </w:p>
    <w:p>
      <w:pPr>
        <w:spacing w:line="276" w:lineRule="auto"/>
        <w:ind w:firstLine="567"/>
        <w:jc w:val="both"/>
        <w:rPr>
          <w:rFonts w:ascii="Cambria" w:hAnsi="Cambria"/>
          <w:sz w:val="24"/>
          <w:szCs w:val="24"/>
        </w:rPr>
      </w:pPr>
      <w:r>
        <w:rPr>
          <w:rFonts w:ascii="Cambria" w:hAnsi="Cambria"/>
          <w:sz w:val="24"/>
          <w:szCs w:val="24"/>
        </w:rPr>
        <w:t>Ressalta-se que a presente estimativa possui caráter referencial para fins de planejamento da contratação, podendo o valor final ser ajustado posteriormente com base nos estudos de mercado, pesquisas de preços e demais instrumentos que compõem a fase preparatória do processo licitatório, observando-se sempre a busca pela proposta mais vantajosa para a Administração Pública.</w:t>
      </w:r>
    </w:p>
    <w:p>
      <w:pPr>
        <w:tabs>
          <w:tab w:val="left" w:pos="1896"/>
        </w:tabs>
        <w:spacing w:line="276" w:lineRule="auto"/>
        <w:ind w:firstLine="567"/>
        <w:jc w:val="both"/>
        <w:rPr>
          <w:rFonts w:ascii="Cambria" w:eastAsia="Calibri" w:hAnsi="Cambria"/>
          <w:bCs/>
          <w:sz w:val="24"/>
          <w:szCs w:val="24"/>
        </w:rPr>
      </w:pPr>
      <w:r>
        <w:rPr>
          <w:rFonts w:ascii="Cambria" w:hAnsi="Cambria"/>
          <w:sz w:val="24"/>
          <w:szCs w:val="24"/>
        </w:rPr>
        <w:tab/>
      </w:r>
    </w:p>
    <w:p>
      <w:pPr>
        <w:spacing w:line="276" w:lineRule="auto"/>
        <w:jc w:val="both"/>
        <w:rPr>
          <w:rFonts w:ascii="Cambria" w:eastAsia="Calibri" w:hAnsi="Cambria"/>
          <w:b/>
          <w:sz w:val="24"/>
          <w:szCs w:val="24"/>
        </w:rPr>
      </w:pPr>
      <w:r>
        <w:rPr>
          <w:rFonts w:ascii="Cambria" w:eastAsia="Calibri" w:hAnsi="Cambria"/>
          <w:b/>
          <w:sz w:val="24"/>
          <w:szCs w:val="24"/>
        </w:rPr>
        <w:t>7. DESCRIÇÃO DA SOLUÇÃO COMO UM TODO</w:t>
      </w:r>
    </w:p>
    <w:p>
      <w:pPr>
        <w:spacing w:line="276" w:lineRule="auto"/>
        <w:ind w:firstLine="708"/>
        <w:jc w:val="both"/>
        <w:rPr>
          <w:rFonts w:ascii="Cambria" w:eastAsia="Calibri" w:hAnsi="Cambria"/>
          <w:bCs/>
          <w:sz w:val="24"/>
          <w:szCs w:val="24"/>
        </w:rPr>
      </w:pPr>
      <w:r>
        <w:rPr>
          <w:rFonts w:ascii="Cambria" w:eastAsia="Calibri" w:hAnsi="Cambria"/>
          <w:bCs/>
          <w:sz w:val="24"/>
          <w:szCs w:val="24"/>
        </w:rPr>
        <w:t>A solução proposta consiste na contratação de empresa especializada para a locação de veículos destinados ao atendimento das necessidades das diversas Secretarias do Município de Miraíma/CE, compreendendo o fornecimento contínuo de veículos de diferentes categorias, em conformidade com as especificações técnicas estabelecidas no Termo de Referência.</w:t>
      </w:r>
    </w:p>
    <w:p>
      <w:pPr>
        <w:spacing w:line="276" w:lineRule="auto"/>
        <w:ind w:firstLine="708"/>
        <w:jc w:val="both"/>
        <w:rPr>
          <w:rFonts w:ascii="Cambria" w:eastAsia="Calibri" w:hAnsi="Cambria"/>
          <w:bCs/>
          <w:sz w:val="24"/>
          <w:szCs w:val="24"/>
        </w:rPr>
      </w:pPr>
      <w:r>
        <w:rPr>
          <w:rFonts w:ascii="Cambria" w:eastAsia="Calibri" w:hAnsi="Cambria"/>
          <w:bCs/>
          <w:sz w:val="24"/>
          <w:szCs w:val="24"/>
        </w:rPr>
        <w:t>A contratação contempla a disponibilização de veículos de passeio, utilitários, camionetes, SUVs, vans, micro-ônibus, ônibus e caminhões especializados, destinados ao apoio das atividades administrativas, operacionais e institucionais desenvolvidas pelas Secretarias Municipais de Gabinete, Saúde, Educação, Infraestrutura e Serviços Públicos e Agricultura e Meio Ambiente.</w:t>
      </w:r>
    </w:p>
    <w:p>
      <w:pPr>
        <w:spacing w:line="276" w:lineRule="auto"/>
        <w:ind w:firstLine="708"/>
        <w:jc w:val="both"/>
        <w:rPr>
          <w:rFonts w:ascii="Cambria" w:eastAsia="Calibri" w:hAnsi="Cambria"/>
          <w:bCs/>
          <w:sz w:val="24"/>
          <w:szCs w:val="24"/>
        </w:rPr>
      </w:pPr>
      <w:r>
        <w:rPr>
          <w:rFonts w:ascii="Cambria" w:eastAsia="Calibri" w:hAnsi="Cambria"/>
          <w:bCs/>
          <w:sz w:val="24"/>
          <w:szCs w:val="24"/>
        </w:rPr>
        <w:t>A solução deverá abranger toda a gestão operacional necessária à disponibilização da frota, incluindo a entrega dos veículos em perfeitas condições de uso, manutenção preventiva e corretiva, reposição de peças, substituição de veículos em caso de indisponibilidade, licenciamento e demais encargos inerentes à propriedade e manutenção dos veículos, permanecendo o abastecimento sob responsabilidade da contratante, conforme definido nas especificações do objeto.</w:t>
      </w:r>
    </w:p>
    <w:p>
      <w:pPr>
        <w:spacing w:line="276" w:lineRule="auto"/>
        <w:ind w:firstLine="708"/>
        <w:jc w:val="both"/>
        <w:rPr>
          <w:rFonts w:ascii="Cambria" w:eastAsia="Calibri" w:hAnsi="Cambria"/>
          <w:bCs/>
          <w:sz w:val="24"/>
          <w:szCs w:val="24"/>
        </w:rPr>
      </w:pPr>
      <w:r>
        <w:rPr>
          <w:rFonts w:ascii="Cambria" w:eastAsia="Calibri" w:hAnsi="Cambria"/>
          <w:bCs/>
          <w:sz w:val="24"/>
          <w:szCs w:val="24"/>
        </w:rPr>
        <w:t>Considerando o ciclo de vida do objeto, a locação apresenta-se como alternativa mais eficiente e econômica quando comparada à aquisição de frota própria, uma vez que transfere à contratada os custos relacionados à depreciação dos veículos, renovação da frota, manutenção, seguros, regularização documental e demais despesas associadas à gestão patrimonial dos bens.</w:t>
      </w:r>
    </w:p>
    <w:p>
      <w:pPr>
        <w:spacing w:line="276" w:lineRule="auto"/>
        <w:ind w:firstLine="708"/>
        <w:jc w:val="both"/>
        <w:rPr>
          <w:rFonts w:ascii="Cambria" w:eastAsia="Calibri" w:hAnsi="Cambria"/>
          <w:bCs/>
          <w:sz w:val="24"/>
          <w:szCs w:val="24"/>
        </w:rPr>
      </w:pPr>
      <w:r>
        <w:rPr>
          <w:rFonts w:ascii="Cambria" w:eastAsia="Calibri" w:hAnsi="Cambria"/>
          <w:bCs/>
          <w:sz w:val="24"/>
          <w:szCs w:val="24"/>
        </w:rPr>
        <w:t>A solução proposta possibilita maior flexibilidade na gestão da frota municipal, permitindo adequação às necessidades operacionais das Secretarias durante toda a vigência contratual, sem a necessidade de elevados investimentos iniciais para aquisição de veículos e sem a criação de estrutura administrativa específica para manutenção e gerenciamento da frota própria.</w:t>
      </w:r>
    </w:p>
    <w:p>
      <w:pPr>
        <w:spacing w:line="276" w:lineRule="auto"/>
        <w:ind w:firstLine="708"/>
        <w:jc w:val="both"/>
        <w:rPr>
          <w:rFonts w:ascii="Cambria" w:eastAsia="Calibri" w:hAnsi="Cambria"/>
          <w:bCs/>
          <w:sz w:val="24"/>
          <w:szCs w:val="24"/>
        </w:rPr>
      </w:pPr>
      <w:r>
        <w:rPr>
          <w:rFonts w:ascii="Cambria" w:eastAsia="Calibri" w:hAnsi="Cambria"/>
          <w:bCs/>
          <w:sz w:val="24"/>
          <w:szCs w:val="24"/>
        </w:rPr>
        <w:lastRenderedPageBreak/>
        <w:t>Além disso, a contratação contribui para a continuidade dos serviços públicos, reduzindo riscos de paralisações decorrentes de falhas mecânicas, indisponibilidade de veículos ou insuficiência de frota, assegurando maior eficiência administrativa e melhor atendimento às demandas da população.</w:t>
      </w:r>
    </w:p>
    <w:p>
      <w:pPr>
        <w:spacing w:line="276" w:lineRule="auto"/>
        <w:ind w:firstLine="708"/>
        <w:jc w:val="both"/>
        <w:rPr>
          <w:rFonts w:ascii="Cambria" w:eastAsia="Calibri" w:hAnsi="Cambria"/>
          <w:bCs/>
          <w:sz w:val="24"/>
          <w:szCs w:val="24"/>
        </w:rPr>
      </w:pPr>
      <w:r>
        <w:rPr>
          <w:rFonts w:ascii="Cambria" w:eastAsia="Calibri" w:hAnsi="Cambria"/>
          <w:bCs/>
          <w:sz w:val="24"/>
          <w:szCs w:val="24"/>
        </w:rPr>
        <w:t>Dessa forma, a solução escolhida contempla todas as etapas necessárias ao atendimento da necessidade identificada, desde a disponibilização dos veículos até sua manutenção e substituição quando necessário, garantindo condições adequadas para a execução das atividades das diversas Secretarias do Município de Miraíma/CE durante toda a vigência contratual.</w:t>
      </w:r>
    </w:p>
    <w:p>
      <w:pPr>
        <w:spacing w:line="276" w:lineRule="auto"/>
        <w:jc w:val="both"/>
        <w:rPr>
          <w:rFonts w:ascii="Cambria" w:eastAsia="Calibri" w:hAnsi="Cambria"/>
          <w:bCs/>
          <w:sz w:val="24"/>
          <w:szCs w:val="24"/>
        </w:rPr>
      </w:pPr>
    </w:p>
    <w:p>
      <w:pPr>
        <w:spacing w:line="276" w:lineRule="auto"/>
        <w:jc w:val="both"/>
        <w:rPr>
          <w:rFonts w:ascii="Cambria" w:eastAsia="Calibri" w:hAnsi="Cambria"/>
          <w:sz w:val="24"/>
          <w:szCs w:val="24"/>
        </w:rPr>
      </w:pPr>
      <w:r>
        <w:rPr>
          <w:rFonts w:ascii="Cambria" w:eastAsia="Calibri" w:hAnsi="Cambria"/>
          <w:b/>
          <w:sz w:val="24"/>
          <w:szCs w:val="24"/>
        </w:rPr>
        <w:t>8. DO PARCELAMENTO</w:t>
      </w:r>
    </w:p>
    <w:p>
      <w:pPr>
        <w:spacing w:line="276" w:lineRule="auto"/>
        <w:ind w:firstLine="708"/>
        <w:jc w:val="both"/>
        <w:rPr>
          <w:rFonts w:ascii="Cambria" w:eastAsia="Calibri" w:hAnsi="Cambria"/>
          <w:sz w:val="24"/>
          <w:szCs w:val="24"/>
        </w:rPr>
      </w:pPr>
      <w:r>
        <w:rPr>
          <w:rFonts w:ascii="Cambria" w:eastAsia="Calibri" w:hAnsi="Cambria"/>
          <w:sz w:val="24"/>
          <w:szCs w:val="24"/>
        </w:rPr>
        <w:t>Nos termos do art. 40, inciso V, alínea "b", da Lei Federal nº 14.133/2021, foi avaliada a possibilidade de parcelamento do objeto da contratação, considerando aspectos técnicos, operacionais e econômicos relacionados à execução dos serviços de locação de veículos destinados ao atendimento das necessidades das diversas Secretarias do Município de Miraíma/CE.</w:t>
      </w:r>
    </w:p>
    <w:p>
      <w:pPr>
        <w:spacing w:line="276" w:lineRule="auto"/>
        <w:ind w:firstLine="708"/>
        <w:jc w:val="both"/>
        <w:rPr>
          <w:rFonts w:ascii="Cambria" w:eastAsia="Calibri" w:hAnsi="Cambria"/>
          <w:sz w:val="24"/>
          <w:szCs w:val="24"/>
        </w:rPr>
      </w:pPr>
      <w:r>
        <w:rPr>
          <w:rFonts w:ascii="Cambria" w:eastAsia="Calibri" w:hAnsi="Cambria"/>
          <w:sz w:val="24"/>
          <w:szCs w:val="24"/>
        </w:rPr>
        <w:t>Após análise da demanda, verifica-se que, embora existam diferentes categorias de veículos a serem disponibilizadas, os serviços possuem natureza semelhante, sendo todos relacionados à locação de veículos com manutenção sob responsabilidade da contratada, o que permite sua execução de forma integrada por uma única empresa ou por empresas distintas, a depender do resultado do certame.</w:t>
      </w:r>
    </w:p>
    <w:p>
      <w:pPr>
        <w:spacing w:line="276" w:lineRule="auto"/>
        <w:ind w:firstLine="708"/>
        <w:jc w:val="both"/>
        <w:rPr>
          <w:rFonts w:ascii="Cambria" w:eastAsia="Calibri" w:hAnsi="Cambria"/>
          <w:sz w:val="24"/>
          <w:szCs w:val="24"/>
        </w:rPr>
      </w:pPr>
      <w:r>
        <w:rPr>
          <w:rFonts w:ascii="Cambria" w:eastAsia="Calibri" w:hAnsi="Cambria"/>
          <w:sz w:val="24"/>
          <w:szCs w:val="24"/>
        </w:rPr>
        <w:t>Dessa forma, visando ampliar a competitividade, possibilitar a participação de um maior número de licitantes e garantir a obtenção da proposta mais vantajosa para a Administração, recomenda-se que a licitação seja realizada com parcelamento do objeto em itens, observando as especificações e quantidades de cada categoria de veículo.</w:t>
      </w:r>
    </w:p>
    <w:p>
      <w:pPr>
        <w:spacing w:line="276" w:lineRule="auto"/>
        <w:ind w:firstLine="708"/>
        <w:jc w:val="both"/>
        <w:rPr>
          <w:rFonts w:ascii="Cambria" w:eastAsia="Calibri" w:hAnsi="Cambria"/>
          <w:sz w:val="24"/>
          <w:szCs w:val="24"/>
        </w:rPr>
      </w:pPr>
      <w:r>
        <w:rPr>
          <w:rFonts w:ascii="Cambria" w:eastAsia="Calibri" w:hAnsi="Cambria"/>
          <w:sz w:val="24"/>
          <w:szCs w:val="24"/>
        </w:rPr>
        <w:t>O parcelamento por item não compromete a execução contratual, tampouco gera prejuízos à padronização, à fiscalização ou ao gerenciamento dos contratos, permitindo que empresas especializadas participem da disputa apenas dos itens compatíveis com sua capacidade operacional.</w:t>
      </w:r>
    </w:p>
    <w:p>
      <w:pPr>
        <w:spacing w:line="276" w:lineRule="auto"/>
        <w:ind w:firstLine="708"/>
        <w:jc w:val="both"/>
        <w:rPr>
          <w:rFonts w:ascii="Cambria" w:eastAsia="Calibri" w:hAnsi="Cambria"/>
          <w:sz w:val="24"/>
          <w:szCs w:val="24"/>
        </w:rPr>
      </w:pPr>
      <w:r>
        <w:rPr>
          <w:rFonts w:ascii="Cambria" w:eastAsia="Calibri" w:hAnsi="Cambria"/>
          <w:sz w:val="24"/>
          <w:szCs w:val="24"/>
        </w:rPr>
        <w:t>Além disso, a divisão por itens favorece a ampliação da concorrência e contribui para a obtenção de preços mais vantajosos para a Administração, atendendo aos princípios da economicidade, eficiência e competitividade.</w:t>
      </w:r>
    </w:p>
    <w:p>
      <w:pPr>
        <w:spacing w:line="276" w:lineRule="auto"/>
        <w:ind w:firstLine="708"/>
        <w:jc w:val="both"/>
        <w:rPr>
          <w:rFonts w:ascii="Cambria" w:eastAsia="Calibri" w:hAnsi="Cambria"/>
          <w:sz w:val="24"/>
          <w:szCs w:val="24"/>
        </w:rPr>
      </w:pPr>
      <w:r>
        <w:rPr>
          <w:rFonts w:ascii="Cambria" w:eastAsia="Calibri" w:hAnsi="Cambria"/>
          <w:sz w:val="24"/>
          <w:szCs w:val="24"/>
        </w:rPr>
        <w:t>Portanto, conclui-se que o parcelamento do objeto mostra-se técnica e economicamente viável, recomendando-se a adoção da adjudicação por item, de modo a possibilitar maior participação do mercado e a seleção das propostas mais vantajosas para a Administração Pública.</w:t>
      </w:r>
    </w:p>
    <w:p>
      <w:pPr>
        <w:spacing w:line="276" w:lineRule="auto"/>
        <w:jc w:val="both"/>
        <w:rPr>
          <w:rFonts w:ascii="Cambria" w:eastAsia="Calibri" w:hAnsi="Cambria"/>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9. DEMONSTRATIVO DOS OBJETIVOS ALMEJADOS EM TERMOS DE EFICIÊNCIA E OTIMIZAÇÃO DOS RECURSOS NO CONTEXTO DA CONTRATAÇÃO DA SOLUÇÃO COMO UM TODO;</w:t>
      </w:r>
    </w:p>
    <w:p>
      <w:pPr>
        <w:spacing w:line="276" w:lineRule="auto"/>
        <w:ind w:firstLine="709"/>
        <w:jc w:val="both"/>
        <w:rPr>
          <w:rFonts w:ascii="Cambria" w:eastAsia="Calibri" w:hAnsi="Cambria"/>
          <w:bCs/>
          <w:sz w:val="24"/>
          <w:szCs w:val="24"/>
        </w:rPr>
      </w:pPr>
      <w:r>
        <w:rPr>
          <w:rFonts w:ascii="Cambria" w:eastAsia="Calibri" w:hAnsi="Cambria"/>
          <w:bCs/>
          <w:sz w:val="24"/>
          <w:szCs w:val="24"/>
        </w:rPr>
        <w:lastRenderedPageBreak/>
        <w:t>A contratação de empresa especializada para a locação de veículos destinados ao atendimento das necessidades das diversas Secretarias do Município de Miraíma/CE tem como objetivo principal garantir a continuidade e a eficiência dos serviços públicos, assegurando os meios necessários para o deslocamento de servidores, equipes técnicas, materiais e equipamentos indispensáveis à execução das atividades administrativas e operacionais da Administração Municipal.</w:t>
      </w:r>
    </w:p>
    <w:p>
      <w:pPr>
        <w:spacing w:line="276" w:lineRule="auto"/>
        <w:ind w:firstLine="709"/>
        <w:jc w:val="both"/>
        <w:rPr>
          <w:rFonts w:ascii="Cambria" w:eastAsia="Calibri" w:hAnsi="Cambria"/>
          <w:bCs/>
          <w:sz w:val="24"/>
          <w:szCs w:val="24"/>
        </w:rPr>
      </w:pPr>
      <w:r>
        <w:rPr>
          <w:rFonts w:ascii="Cambria" w:eastAsia="Calibri" w:hAnsi="Cambria"/>
          <w:bCs/>
          <w:sz w:val="24"/>
          <w:szCs w:val="24"/>
        </w:rPr>
        <w:t>Nesse contexto, a solução proposta busca alcançar os seguintes objetivos:</w:t>
      </w:r>
    </w:p>
    <w:p>
      <w:pPr>
        <w:spacing w:line="276" w:lineRule="auto"/>
        <w:ind w:firstLine="709"/>
        <w:jc w:val="both"/>
        <w:rPr>
          <w:rFonts w:ascii="Cambria" w:eastAsia="Calibri" w:hAnsi="Cambria"/>
          <w:bCs/>
          <w:sz w:val="24"/>
          <w:szCs w:val="24"/>
        </w:rPr>
      </w:pPr>
      <w:r>
        <w:rPr>
          <w:rFonts w:ascii="Cambria" w:eastAsia="Calibri" w:hAnsi="Cambria"/>
          <w:b/>
          <w:bCs/>
          <w:sz w:val="24"/>
          <w:szCs w:val="24"/>
        </w:rPr>
        <w:t>a) Garantir a continuidade dos serviços públicos:</w:t>
      </w:r>
      <w:r>
        <w:rPr>
          <w:rFonts w:ascii="Cambria" w:eastAsia="Calibri" w:hAnsi="Cambria"/>
          <w:bCs/>
          <w:sz w:val="24"/>
          <w:szCs w:val="24"/>
        </w:rPr>
        <w:t xml:space="preserve"> disponibilizar veículos adequados para o atendimento permanente das demandas das Secretarias Municipais, evitando interrupções decorrentes da insuficiência ou indisponibilidade de frota.</w:t>
      </w:r>
    </w:p>
    <w:p>
      <w:pPr>
        <w:spacing w:line="276" w:lineRule="auto"/>
        <w:ind w:firstLine="709"/>
        <w:jc w:val="both"/>
        <w:rPr>
          <w:rFonts w:ascii="Cambria" w:eastAsia="Calibri" w:hAnsi="Cambria"/>
          <w:bCs/>
          <w:sz w:val="24"/>
          <w:szCs w:val="24"/>
        </w:rPr>
      </w:pPr>
      <w:r>
        <w:rPr>
          <w:rFonts w:ascii="Cambria" w:eastAsia="Calibri" w:hAnsi="Cambria"/>
          <w:b/>
          <w:bCs/>
          <w:sz w:val="24"/>
          <w:szCs w:val="24"/>
        </w:rPr>
        <w:t>b) Aumentar a eficiência operacional:</w:t>
      </w:r>
      <w:r>
        <w:rPr>
          <w:rFonts w:ascii="Cambria" w:eastAsia="Calibri" w:hAnsi="Cambria"/>
          <w:bCs/>
          <w:sz w:val="24"/>
          <w:szCs w:val="24"/>
        </w:rPr>
        <w:t xml:space="preserve"> proporcionar maior agilidade no deslocamento de equipes, realização de visitas técnicas, fiscalização de obras e serviços, transporte de pacientes, apoio às atividades educacionais e execução das ações institucionais desenvolvidas pelo Município.</w:t>
      </w:r>
    </w:p>
    <w:p>
      <w:pPr>
        <w:spacing w:line="276" w:lineRule="auto"/>
        <w:ind w:firstLine="709"/>
        <w:jc w:val="both"/>
        <w:rPr>
          <w:rFonts w:ascii="Cambria" w:eastAsia="Calibri" w:hAnsi="Cambria"/>
          <w:bCs/>
          <w:sz w:val="24"/>
          <w:szCs w:val="24"/>
        </w:rPr>
      </w:pPr>
      <w:r>
        <w:rPr>
          <w:rFonts w:ascii="Cambria" w:eastAsia="Calibri" w:hAnsi="Cambria"/>
          <w:b/>
          <w:bCs/>
          <w:sz w:val="24"/>
          <w:szCs w:val="24"/>
        </w:rPr>
        <w:t>c) Otimizar a aplicação dos recursos públicos:</w:t>
      </w:r>
      <w:r>
        <w:rPr>
          <w:rFonts w:ascii="Cambria" w:eastAsia="Calibri" w:hAnsi="Cambria"/>
          <w:bCs/>
          <w:sz w:val="24"/>
          <w:szCs w:val="24"/>
        </w:rPr>
        <w:t xml:space="preserve"> evitar elevados investimentos na aquisição de frota própria, reduzindo despesas relacionadas à depreciação patrimonial, manutenção, seguros, licenciamento e gestão dos veículos.</w:t>
      </w:r>
    </w:p>
    <w:p>
      <w:pPr>
        <w:spacing w:line="276" w:lineRule="auto"/>
        <w:ind w:firstLine="709"/>
        <w:jc w:val="both"/>
        <w:rPr>
          <w:rFonts w:ascii="Cambria" w:eastAsia="Calibri" w:hAnsi="Cambria"/>
          <w:bCs/>
          <w:sz w:val="24"/>
          <w:szCs w:val="24"/>
        </w:rPr>
      </w:pPr>
      <w:r>
        <w:rPr>
          <w:rFonts w:ascii="Cambria" w:eastAsia="Calibri" w:hAnsi="Cambria"/>
          <w:b/>
          <w:bCs/>
          <w:sz w:val="24"/>
          <w:szCs w:val="24"/>
        </w:rPr>
        <w:t>d) Melhorar a gestão da frota:</w:t>
      </w:r>
      <w:r>
        <w:rPr>
          <w:rFonts w:ascii="Cambria" w:eastAsia="Calibri" w:hAnsi="Cambria"/>
          <w:bCs/>
          <w:sz w:val="24"/>
          <w:szCs w:val="24"/>
        </w:rPr>
        <w:t xml:space="preserve"> transferir à contratada a responsabilidade pela manutenção preventiva e corretiva dos veículos, garantindo maior disponibilidade operacional e reduzindo custos administrativos para o Município.</w:t>
      </w:r>
    </w:p>
    <w:p>
      <w:pPr>
        <w:spacing w:line="276" w:lineRule="auto"/>
        <w:ind w:firstLine="709"/>
        <w:jc w:val="both"/>
        <w:rPr>
          <w:rFonts w:ascii="Cambria" w:eastAsia="Calibri" w:hAnsi="Cambria"/>
          <w:bCs/>
          <w:sz w:val="24"/>
          <w:szCs w:val="24"/>
        </w:rPr>
      </w:pPr>
      <w:r>
        <w:rPr>
          <w:rFonts w:ascii="Cambria" w:eastAsia="Calibri" w:hAnsi="Cambria"/>
          <w:b/>
          <w:bCs/>
          <w:sz w:val="24"/>
          <w:szCs w:val="24"/>
        </w:rPr>
        <w:t>e) Assegurar maior previsibilidade orçamentária:</w:t>
      </w:r>
      <w:r>
        <w:rPr>
          <w:rFonts w:ascii="Cambria" w:eastAsia="Calibri" w:hAnsi="Cambria"/>
          <w:bCs/>
          <w:sz w:val="24"/>
          <w:szCs w:val="24"/>
        </w:rPr>
        <w:t xml:space="preserve"> possibilitar melhor planejamento financeiro mediante custos previamente definidos em contrato, facilitando o controle e acompanhamento das despesas públicas.</w:t>
      </w:r>
    </w:p>
    <w:p>
      <w:pPr>
        <w:spacing w:line="276" w:lineRule="auto"/>
        <w:ind w:firstLine="709"/>
        <w:jc w:val="both"/>
        <w:rPr>
          <w:rFonts w:ascii="Cambria" w:eastAsia="Calibri" w:hAnsi="Cambria"/>
          <w:bCs/>
          <w:sz w:val="24"/>
          <w:szCs w:val="24"/>
        </w:rPr>
      </w:pPr>
      <w:r>
        <w:rPr>
          <w:rFonts w:ascii="Cambria" w:eastAsia="Calibri" w:hAnsi="Cambria"/>
          <w:b/>
          <w:bCs/>
          <w:sz w:val="24"/>
          <w:szCs w:val="24"/>
        </w:rPr>
        <w:t>f) Proporcionar flexibilidade administrativa:</w:t>
      </w:r>
      <w:r>
        <w:rPr>
          <w:rFonts w:ascii="Cambria" w:eastAsia="Calibri" w:hAnsi="Cambria"/>
          <w:bCs/>
          <w:sz w:val="24"/>
          <w:szCs w:val="24"/>
        </w:rPr>
        <w:t xml:space="preserve"> permitir a adequação da frota às necessidades específicas de cada Secretaria, mediante a disponibilização de veículos com características compatíveis com as atividades desenvolvidas.</w:t>
      </w:r>
    </w:p>
    <w:p>
      <w:pPr>
        <w:spacing w:line="276" w:lineRule="auto"/>
        <w:ind w:firstLine="709"/>
        <w:jc w:val="both"/>
        <w:rPr>
          <w:rFonts w:ascii="Cambria" w:eastAsia="Calibri" w:hAnsi="Cambria"/>
          <w:bCs/>
          <w:sz w:val="24"/>
          <w:szCs w:val="24"/>
        </w:rPr>
      </w:pPr>
      <w:r>
        <w:rPr>
          <w:rFonts w:ascii="Cambria" w:eastAsia="Calibri" w:hAnsi="Cambria"/>
          <w:b/>
          <w:bCs/>
          <w:sz w:val="24"/>
          <w:szCs w:val="24"/>
        </w:rPr>
        <w:t>g) Reduzir riscos operacionais:</w:t>
      </w:r>
      <w:r>
        <w:rPr>
          <w:rFonts w:ascii="Cambria" w:eastAsia="Calibri" w:hAnsi="Cambria"/>
          <w:bCs/>
          <w:sz w:val="24"/>
          <w:szCs w:val="24"/>
        </w:rPr>
        <w:t xml:space="preserve"> minimizar impactos decorrentes de falhas mecânicas, indisponibilidade de veículos e paralisações dos serviços, mediante a obrigatoriedade de manutenção e substituição dos veículos pela contratada quando necessário.</w:t>
      </w:r>
    </w:p>
    <w:p>
      <w:pPr>
        <w:spacing w:line="276" w:lineRule="auto"/>
        <w:ind w:firstLine="709"/>
        <w:jc w:val="both"/>
        <w:rPr>
          <w:rFonts w:ascii="Cambria" w:eastAsia="Calibri" w:hAnsi="Cambria"/>
          <w:bCs/>
          <w:sz w:val="24"/>
          <w:szCs w:val="24"/>
        </w:rPr>
      </w:pPr>
      <w:r>
        <w:rPr>
          <w:rFonts w:ascii="Cambria" w:eastAsia="Calibri" w:hAnsi="Cambria"/>
          <w:b/>
          <w:bCs/>
          <w:sz w:val="24"/>
          <w:szCs w:val="24"/>
        </w:rPr>
        <w:t>h) Promover economicidade e competitividade:</w:t>
      </w:r>
      <w:r>
        <w:rPr>
          <w:rFonts w:ascii="Cambria" w:eastAsia="Calibri" w:hAnsi="Cambria"/>
          <w:bCs/>
          <w:sz w:val="24"/>
          <w:szCs w:val="24"/>
        </w:rPr>
        <w:t xml:space="preserve"> viabilizar a contratação por meio de procedimento licitatório que estimule a concorrência entre os fornecedores e possibilite a obtenção da proposta mais vantajosa para a Administração.</w:t>
      </w:r>
    </w:p>
    <w:p>
      <w:pPr>
        <w:spacing w:line="276" w:lineRule="auto"/>
        <w:ind w:firstLine="709"/>
        <w:jc w:val="both"/>
        <w:rPr>
          <w:rFonts w:ascii="Cambria" w:eastAsia="Calibri" w:hAnsi="Cambria"/>
          <w:bCs/>
          <w:sz w:val="24"/>
          <w:szCs w:val="24"/>
        </w:rPr>
      </w:pPr>
      <w:r>
        <w:rPr>
          <w:rFonts w:ascii="Cambria" w:eastAsia="Calibri" w:hAnsi="Cambria"/>
          <w:bCs/>
          <w:sz w:val="24"/>
          <w:szCs w:val="24"/>
        </w:rPr>
        <w:t>Dessa forma, espera-se que a contratação contribua para a melhoria da qualidade dos serviços prestados à população, para o fortalecimento da capacidade operacional das Secretarias Municipais e para a utilização mais eficiente dos recursos públicos, em conformidade com os princípios da eficiência, economicidade, planejamento e interesse público previstos na Lei Federal nº 14.133/2021.</w:t>
      </w:r>
    </w:p>
    <w:p>
      <w:pPr>
        <w:spacing w:line="276" w:lineRule="auto"/>
        <w:jc w:val="both"/>
        <w:rPr>
          <w:rFonts w:ascii="Cambria" w:eastAsia="Calibri" w:hAnsi="Cambria"/>
          <w:b/>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lastRenderedPageBreak/>
        <w:t>10. PROVIDÊNCIAS A SEREM ADOTADAS PELA ADMINISTRAÇÃO PREVIAMENTE À CELEBRAÇÃO DO CONTRATO, INCLUSIVE QUANTO À CAPACITAÇÃO DE SERVIDORES OU DE EMPREGADOS PARA FISCALIZAÇÃO E GESTÃO CONTRATUAL;</w:t>
      </w:r>
    </w:p>
    <w:p>
      <w:pPr>
        <w:spacing w:line="276" w:lineRule="auto"/>
        <w:ind w:firstLine="851"/>
        <w:jc w:val="both"/>
        <w:rPr>
          <w:rFonts w:ascii="Cambria" w:eastAsia="Calibri" w:hAnsi="Cambria"/>
          <w:sz w:val="24"/>
          <w:szCs w:val="24"/>
        </w:rPr>
      </w:pPr>
      <w:r>
        <w:rPr>
          <w:rFonts w:ascii="Cambria" w:eastAsia="Calibri" w:hAnsi="Cambria"/>
          <w:sz w:val="24"/>
          <w:szCs w:val="24"/>
        </w:rPr>
        <w:t>Previamente à celebração do contrato, a Administração Municipal deverá adotar as providências necessárias para assegurar a adequada execução contratual e o atendimento do interesse público, observando as disposições da Lei Federal nº 14.133/2021.</w:t>
      </w:r>
    </w:p>
    <w:p>
      <w:pPr>
        <w:spacing w:line="276" w:lineRule="auto"/>
        <w:ind w:firstLine="851"/>
        <w:jc w:val="both"/>
        <w:rPr>
          <w:rFonts w:ascii="Cambria" w:eastAsia="Calibri" w:hAnsi="Cambria"/>
          <w:sz w:val="24"/>
          <w:szCs w:val="24"/>
        </w:rPr>
      </w:pPr>
      <w:r>
        <w:rPr>
          <w:rFonts w:ascii="Cambria" w:eastAsia="Calibri" w:hAnsi="Cambria"/>
          <w:sz w:val="24"/>
          <w:szCs w:val="24"/>
        </w:rPr>
        <w:t>Inicialmente, deverão ser concluídas todas as etapas do processo licitatório, incluindo a elaboração e aprovação dos documentos de planejamento da contratação, a realização do procedimento de seleção do fornecedor, a análise da documentação de habilitação e a homologação do certame.</w:t>
      </w:r>
    </w:p>
    <w:p>
      <w:pPr>
        <w:spacing w:line="276" w:lineRule="auto"/>
        <w:ind w:firstLine="851"/>
        <w:jc w:val="both"/>
        <w:rPr>
          <w:rFonts w:ascii="Cambria" w:eastAsia="Calibri" w:hAnsi="Cambria"/>
          <w:sz w:val="24"/>
          <w:szCs w:val="24"/>
        </w:rPr>
      </w:pPr>
      <w:r>
        <w:rPr>
          <w:rFonts w:ascii="Cambria" w:eastAsia="Calibri" w:hAnsi="Cambria"/>
          <w:sz w:val="24"/>
          <w:szCs w:val="24"/>
        </w:rPr>
        <w:t>Deverá ser verificada a existência de dotação orçamentária suficiente para suportar as despesas decorrentes da contratação, bem como a compatibilidade da despesa com os instrumentos de planejamento orçamentário vigentes.</w:t>
      </w:r>
    </w:p>
    <w:p>
      <w:pPr>
        <w:spacing w:line="276" w:lineRule="auto"/>
        <w:ind w:firstLine="851"/>
        <w:jc w:val="both"/>
        <w:rPr>
          <w:rFonts w:ascii="Cambria" w:eastAsia="Calibri" w:hAnsi="Cambria"/>
          <w:sz w:val="24"/>
          <w:szCs w:val="24"/>
        </w:rPr>
      </w:pPr>
      <w:r>
        <w:rPr>
          <w:rFonts w:ascii="Cambria" w:eastAsia="Calibri" w:hAnsi="Cambria"/>
          <w:sz w:val="24"/>
          <w:szCs w:val="24"/>
        </w:rPr>
        <w:t>A Administração deverá proceder à formalização da equipe responsável pela gestão e fiscalização contratual, mediante designação formal de gestor e fiscal do contrato, preferencialmente servidores que possuam conhecimento das rotinas administrativas relacionadas ao objeto contratado e capacidade para acompanhar a execução dos serviços.</w:t>
      </w:r>
    </w:p>
    <w:p>
      <w:pPr>
        <w:spacing w:line="276" w:lineRule="auto"/>
        <w:ind w:firstLine="851"/>
        <w:jc w:val="both"/>
        <w:rPr>
          <w:rFonts w:ascii="Cambria" w:eastAsia="Calibri" w:hAnsi="Cambria"/>
          <w:sz w:val="24"/>
          <w:szCs w:val="24"/>
        </w:rPr>
      </w:pPr>
      <w:r>
        <w:rPr>
          <w:rFonts w:ascii="Cambria" w:eastAsia="Calibri" w:hAnsi="Cambria"/>
          <w:sz w:val="24"/>
          <w:szCs w:val="24"/>
        </w:rPr>
        <w:t>Os servidores designados para a gestão e fiscalização contratual deverão ser orientados quanto às suas atribuições, responsabilidades e procedimentos de acompanhamento da execução do contrato, observando as disposições legais e regulamentares aplicáveis, especialmente aquelas relacionadas ao controle da prestação dos serviços, registro de ocorrências, aplicação de sanções, recebimento dos serviços e ateste das obrigações executadas.</w:t>
      </w:r>
    </w:p>
    <w:p>
      <w:pPr>
        <w:spacing w:line="276" w:lineRule="auto"/>
        <w:ind w:firstLine="851"/>
        <w:jc w:val="both"/>
        <w:rPr>
          <w:rFonts w:ascii="Cambria" w:eastAsia="Calibri" w:hAnsi="Cambria"/>
          <w:sz w:val="24"/>
          <w:szCs w:val="24"/>
        </w:rPr>
      </w:pPr>
      <w:r>
        <w:rPr>
          <w:rFonts w:ascii="Cambria" w:eastAsia="Calibri" w:hAnsi="Cambria"/>
          <w:sz w:val="24"/>
          <w:szCs w:val="24"/>
        </w:rPr>
        <w:t>Deverão ser estabelecidos mecanismos de controle e acompanhamento da execução contratual, incluindo procedimentos para verificação da disponibilidade dos veículos, análise das condições de uso, conferência da documentação obrigatória, acompanhamento das manutenções realizadas e controle das substituições eventualmente necessárias.</w:t>
      </w:r>
    </w:p>
    <w:p>
      <w:pPr>
        <w:spacing w:line="276" w:lineRule="auto"/>
        <w:ind w:firstLine="851"/>
        <w:jc w:val="both"/>
        <w:rPr>
          <w:rFonts w:ascii="Cambria" w:eastAsia="Calibri" w:hAnsi="Cambria"/>
          <w:sz w:val="24"/>
          <w:szCs w:val="24"/>
        </w:rPr>
      </w:pPr>
      <w:r>
        <w:rPr>
          <w:rFonts w:ascii="Cambria" w:eastAsia="Calibri" w:hAnsi="Cambria"/>
          <w:sz w:val="24"/>
          <w:szCs w:val="24"/>
        </w:rPr>
        <w:t>Também deverão ser definidos os fluxos internos de comunicação entre as Secretarias demandantes, a fiscalização contratual e a empresa contratada, visando garantir maior eficiência na solução de ocorrências e na continuidade dos serviços.</w:t>
      </w:r>
    </w:p>
    <w:p>
      <w:pPr>
        <w:spacing w:line="276" w:lineRule="auto"/>
        <w:ind w:firstLine="851"/>
        <w:jc w:val="both"/>
        <w:rPr>
          <w:rFonts w:ascii="Cambria" w:eastAsia="Calibri" w:hAnsi="Cambria"/>
          <w:sz w:val="24"/>
          <w:szCs w:val="24"/>
        </w:rPr>
      </w:pPr>
      <w:r>
        <w:rPr>
          <w:rFonts w:ascii="Cambria" w:eastAsia="Calibri" w:hAnsi="Cambria"/>
          <w:sz w:val="24"/>
          <w:szCs w:val="24"/>
        </w:rPr>
        <w:t>Por fim, a Administração deverá promover reunião inicial com a contratada para alinhamento das condições de execução do contrato, esclarecimento das obrigações das partes e definição dos procedimentos operacionais que serão adotados durante toda a vigência contratual, assegurando a adequada prestação dos serviços e o atendimento das necessidades das diversas Secretarias do Município de Miraíma/CE.</w:t>
      </w:r>
    </w:p>
    <w:p>
      <w:pPr>
        <w:spacing w:line="276" w:lineRule="auto"/>
        <w:ind w:hanging="284"/>
        <w:jc w:val="both"/>
        <w:rPr>
          <w:rFonts w:ascii="Cambria" w:eastAsia="Calibri" w:hAnsi="Cambria"/>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11. CONTRATAÇÕES CORRELATAS E/OU INTERDEPENDENTES;</w:t>
      </w:r>
    </w:p>
    <w:p>
      <w:pPr>
        <w:spacing w:line="276" w:lineRule="auto"/>
        <w:ind w:firstLine="851"/>
        <w:jc w:val="both"/>
        <w:rPr>
          <w:rFonts w:ascii="Cambria" w:eastAsia="Calibri" w:hAnsi="Cambria"/>
          <w:sz w:val="24"/>
          <w:szCs w:val="24"/>
        </w:rPr>
      </w:pPr>
      <w:r>
        <w:rPr>
          <w:rFonts w:ascii="Cambria" w:eastAsia="Calibri" w:hAnsi="Cambria"/>
          <w:sz w:val="24"/>
          <w:szCs w:val="24"/>
        </w:rPr>
        <w:lastRenderedPageBreak/>
        <w:t>Após análise da necessidade administrativa e do objeto pretendido, verifica-se que a presente contratação possui correlação com outras contratações realizadas pela Administração Municipal, especialmente aquelas relacionadas ao abastecimento de combustíveis, à gestão e controle de frota e às atividades administrativas e operacionais desenvolvidas pelas diversas Secretarias Municipais.</w:t>
      </w:r>
    </w:p>
    <w:p>
      <w:pPr>
        <w:spacing w:line="276" w:lineRule="auto"/>
        <w:ind w:firstLine="851"/>
        <w:jc w:val="both"/>
        <w:rPr>
          <w:rFonts w:ascii="Cambria" w:eastAsia="Calibri" w:hAnsi="Cambria"/>
          <w:sz w:val="24"/>
          <w:szCs w:val="24"/>
        </w:rPr>
      </w:pPr>
      <w:r>
        <w:rPr>
          <w:rFonts w:ascii="Cambria" w:eastAsia="Calibri" w:hAnsi="Cambria"/>
          <w:sz w:val="24"/>
          <w:szCs w:val="24"/>
        </w:rPr>
        <w:t>Destaca-se que a execução do objeto depende da existência de contratação específica para fornecimento de combustíveis, uma vez que o abastecimento dos veículos locados será de responsabilidade da contratante, conforme definido nas especificações do objeto.</w:t>
      </w:r>
    </w:p>
    <w:p>
      <w:pPr>
        <w:spacing w:line="276" w:lineRule="auto"/>
        <w:ind w:firstLine="851"/>
        <w:jc w:val="both"/>
        <w:rPr>
          <w:rFonts w:ascii="Cambria" w:eastAsia="Calibri" w:hAnsi="Cambria"/>
          <w:sz w:val="24"/>
          <w:szCs w:val="24"/>
        </w:rPr>
      </w:pPr>
      <w:r>
        <w:rPr>
          <w:rFonts w:ascii="Cambria" w:eastAsia="Calibri" w:hAnsi="Cambria"/>
          <w:sz w:val="24"/>
          <w:szCs w:val="24"/>
        </w:rPr>
        <w:t>Também poderá haver integração operacional com contratos de fornecimento de peças, manutenção de veículos pertencentes à frota própria do Município e sistemas de gerenciamento de abastecimento ou controle de frota eventualmente utilizados pela Administração, sem que tais contratações interfiram diretamente na execução do contrato de locação de veículos.</w:t>
      </w:r>
    </w:p>
    <w:p>
      <w:pPr>
        <w:spacing w:line="276" w:lineRule="auto"/>
        <w:ind w:firstLine="851"/>
        <w:jc w:val="both"/>
        <w:rPr>
          <w:rFonts w:ascii="Cambria" w:eastAsia="Calibri" w:hAnsi="Cambria"/>
          <w:sz w:val="24"/>
          <w:szCs w:val="24"/>
        </w:rPr>
      </w:pPr>
      <w:r>
        <w:rPr>
          <w:rFonts w:ascii="Cambria" w:eastAsia="Calibri" w:hAnsi="Cambria"/>
          <w:sz w:val="24"/>
          <w:szCs w:val="24"/>
        </w:rPr>
        <w:t>Entretanto, a presente contratação possui autonomia operacional e pode ser executada independentemente da celebração de novos contratos correlatos, desde que mantidas as condições necessárias para o abastecimento dos veículos e a gestão administrativa da frota.</w:t>
      </w:r>
    </w:p>
    <w:p>
      <w:pPr>
        <w:spacing w:line="276" w:lineRule="auto"/>
        <w:ind w:firstLine="851"/>
        <w:jc w:val="both"/>
        <w:rPr>
          <w:rFonts w:ascii="Cambria" w:eastAsia="Calibri" w:hAnsi="Cambria"/>
          <w:sz w:val="24"/>
          <w:szCs w:val="24"/>
        </w:rPr>
      </w:pPr>
      <w:r>
        <w:rPr>
          <w:rFonts w:ascii="Cambria" w:eastAsia="Calibri" w:hAnsi="Cambria"/>
          <w:sz w:val="24"/>
          <w:szCs w:val="24"/>
        </w:rPr>
        <w:t>Dessa forma, conclui-se que existem contratações correlatas relacionadas à logística e operacionalização dos serviços de transporte municipal, especialmente o fornecimento de combustíveis, porém não há contratações interdependentes cuja ausência inviabilize a execução do objeto pretendido.</w:t>
      </w:r>
    </w:p>
    <w:p>
      <w:pPr>
        <w:spacing w:line="276" w:lineRule="auto"/>
        <w:ind w:hanging="284"/>
        <w:jc w:val="both"/>
        <w:rPr>
          <w:rFonts w:ascii="Cambria" w:eastAsia="Calibri" w:hAnsi="Cambria"/>
          <w:sz w:val="24"/>
          <w:szCs w:val="24"/>
        </w:rPr>
      </w:pPr>
    </w:p>
    <w:p>
      <w:pPr>
        <w:spacing w:line="276" w:lineRule="auto"/>
        <w:jc w:val="both"/>
        <w:rPr>
          <w:rFonts w:ascii="Cambria" w:eastAsia="Calibri" w:hAnsi="Cambria"/>
          <w:b/>
          <w:sz w:val="24"/>
          <w:szCs w:val="24"/>
        </w:rPr>
      </w:pPr>
      <w:r>
        <w:rPr>
          <w:rFonts w:ascii="Cambria" w:eastAsia="Calibri" w:hAnsi="Cambria"/>
          <w:b/>
          <w:sz w:val="24"/>
          <w:szCs w:val="24"/>
        </w:rPr>
        <w:t>12. DESCRIÇÃO DE POSSÍVEIS IMPACTOS AMBIENTAIS E RESPECTIVAS MEDIDAS MITIGADORAS, INCLUÍDOS REQUISITOS DE BAIXO CONSUMO DE ENERGIA E DE OUTROS RECURSOS, BEM COMO LOGÍSTICA REVERSA PARA DESFAZIMENTO E RECICLAGEM DE BENS E REFUGOS, QUANDO APLICÁVEL;</w:t>
      </w:r>
    </w:p>
    <w:p>
      <w:pPr>
        <w:ind w:firstLine="851"/>
        <w:jc w:val="both"/>
        <w:rPr>
          <w:rFonts w:ascii="Cambria" w:hAnsi="Cambria"/>
          <w:sz w:val="24"/>
          <w:szCs w:val="24"/>
          <w:lang w:eastAsia="pt-BR"/>
        </w:rPr>
      </w:pPr>
      <w:r>
        <w:rPr>
          <w:rFonts w:ascii="Cambria" w:hAnsi="Cambria"/>
          <w:sz w:val="24"/>
          <w:szCs w:val="24"/>
          <w:lang w:eastAsia="pt-BR"/>
        </w:rPr>
        <w:t>A contratação de serviços de locação de veículos pode gerar impactos ambientais relacionados, principalmente, ao consumo de combustíveis fósseis, emissão de gases poluentes na atmosfera, geração de resíduos decorrentes das atividades de manutenção dos veículos e consumo de recursos naturais associados à operação da frota.</w:t>
      </w:r>
    </w:p>
    <w:p>
      <w:pPr>
        <w:ind w:firstLine="851"/>
        <w:jc w:val="both"/>
        <w:rPr>
          <w:rFonts w:ascii="Cambria" w:hAnsi="Cambria"/>
          <w:sz w:val="24"/>
          <w:szCs w:val="24"/>
          <w:lang w:eastAsia="pt-BR"/>
        </w:rPr>
      </w:pPr>
      <w:r>
        <w:rPr>
          <w:rFonts w:ascii="Cambria" w:hAnsi="Cambria"/>
          <w:sz w:val="24"/>
          <w:szCs w:val="24"/>
          <w:lang w:eastAsia="pt-BR"/>
        </w:rPr>
        <w:t>Dentre os principais impactos ambientais identificados, destacam-se a emissão de dióxido de carbono (CO₂) e outros gases provenientes da combustão dos veículos, o desgaste de pneus, peças e componentes automotivos, além da geração de resíduos como óleos lubrificantes, filtros, baterias e demais materiais utilizados nas manutenções preventivas e corretivas.</w:t>
      </w:r>
    </w:p>
    <w:p>
      <w:pPr>
        <w:ind w:firstLine="851"/>
        <w:jc w:val="both"/>
        <w:rPr>
          <w:rFonts w:ascii="Cambria" w:hAnsi="Cambria"/>
          <w:sz w:val="24"/>
          <w:szCs w:val="24"/>
          <w:lang w:eastAsia="pt-BR"/>
        </w:rPr>
      </w:pPr>
      <w:r>
        <w:rPr>
          <w:rFonts w:ascii="Cambria" w:hAnsi="Cambria"/>
          <w:sz w:val="24"/>
          <w:szCs w:val="24"/>
          <w:lang w:eastAsia="pt-BR"/>
        </w:rPr>
        <w:t>Com o objetivo de minimizar tais impactos, deverão ser observadas as seguintes medidas mitigadoras:</w:t>
      </w:r>
    </w:p>
    <w:p>
      <w:pPr>
        <w:numPr>
          <w:ilvl w:val="0"/>
          <w:numId w:val="13"/>
        </w:numPr>
        <w:jc w:val="both"/>
        <w:rPr>
          <w:rFonts w:ascii="Cambria" w:hAnsi="Cambria"/>
          <w:sz w:val="24"/>
          <w:szCs w:val="24"/>
          <w:lang w:eastAsia="pt-BR"/>
        </w:rPr>
      </w:pPr>
      <w:r>
        <w:rPr>
          <w:rFonts w:ascii="Cambria" w:hAnsi="Cambria"/>
          <w:sz w:val="24"/>
          <w:szCs w:val="24"/>
          <w:lang w:eastAsia="pt-BR"/>
        </w:rPr>
        <w:t>Utilização de veículos em bom estado de conservação e funcionamento, com manutenção preventiva periódica, contribuindo para a redução das emissões atmosféricas e para o melhor desempenho energético da frota;</w:t>
      </w:r>
    </w:p>
    <w:p>
      <w:pPr>
        <w:numPr>
          <w:ilvl w:val="0"/>
          <w:numId w:val="13"/>
        </w:numPr>
        <w:jc w:val="both"/>
        <w:rPr>
          <w:rFonts w:ascii="Cambria" w:hAnsi="Cambria"/>
          <w:sz w:val="24"/>
          <w:szCs w:val="24"/>
          <w:lang w:eastAsia="pt-BR"/>
        </w:rPr>
      </w:pPr>
      <w:r>
        <w:rPr>
          <w:rFonts w:ascii="Cambria" w:hAnsi="Cambria"/>
          <w:sz w:val="24"/>
          <w:szCs w:val="24"/>
          <w:lang w:eastAsia="pt-BR"/>
        </w:rPr>
        <w:lastRenderedPageBreak/>
        <w:t>Priorização, sempre que possível, de veículos com tecnologias que proporcionem maior eficiência no consumo de combustível e menor emissão de poluentes;</w:t>
      </w:r>
    </w:p>
    <w:p>
      <w:pPr>
        <w:numPr>
          <w:ilvl w:val="0"/>
          <w:numId w:val="13"/>
        </w:numPr>
        <w:jc w:val="both"/>
        <w:rPr>
          <w:rFonts w:ascii="Cambria" w:hAnsi="Cambria"/>
          <w:sz w:val="24"/>
          <w:szCs w:val="24"/>
          <w:lang w:eastAsia="pt-BR"/>
        </w:rPr>
      </w:pPr>
      <w:r>
        <w:rPr>
          <w:rFonts w:ascii="Cambria" w:hAnsi="Cambria"/>
          <w:sz w:val="24"/>
          <w:szCs w:val="24"/>
          <w:lang w:eastAsia="pt-BR"/>
        </w:rPr>
        <w:t>Realização das manutenções preventivas e corretivas em conformidade com as recomendações dos fabricantes e com a legislação ambiental vigente;</w:t>
      </w:r>
    </w:p>
    <w:p>
      <w:pPr>
        <w:numPr>
          <w:ilvl w:val="0"/>
          <w:numId w:val="13"/>
        </w:numPr>
        <w:jc w:val="both"/>
        <w:rPr>
          <w:rFonts w:ascii="Cambria" w:hAnsi="Cambria"/>
          <w:sz w:val="24"/>
          <w:szCs w:val="24"/>
          <w:lang w:eastAsia="pt-BR"/>
        </w:rPr>
      </w:pPr>
      <w:r>
        <w:rPr>
          <w:rFonts w:ascii="Cambria" w:hAnsi="Cambria"/>
          <w:sz w:val="24"/>
          <w:szCs w:val="24"/>
          <w:lang w:eastAsia="pt-BR"/>
        </w:rPr>
        <w:t>Adoção de práticas que promovam o uso racional dos veículos, reduzindo deslocamentos desnecessários e contribuindo para a otimização do consumo de combustíveis;</w:t>
      </w:r>
    </w:p>
    <w:p>
      <w:pPr>
        <w:numPr>
          <w:ilvl w:val="0"/>
          <w:numId w:val="13"/>
        </w:numPr>
        <w:jc w:val="both"/>
        <w:rPr>
          <w:rFonts w:ascii="Cambria" w:hAnsi="Cambria"/>
          <w:sz w:val="24"/>
          <w:szCs w:val="24"/>
          <w:lang w:eastAsia="pt-BR"/>
        </w:rPr>
      </w:pPr>
      <w:r>
        <w:rPr>
          <w:rFonts w:ascii="Cambria" w:hAnsi="Cambria"/>
          <w:sz w:val="24"/>
          <w:szCs w:val="24"/>
          <w:lang w:eastAsia="pt-BR"/>
        </w:rPr>
        <w:t>Observância das normas ambientais aplicáveis ao transporte e à manutenção veicular.</w:t>
      </w:r>
    </w:p>
    <w:p>
      <w:pPr>
        <w:ind w:firstLine="851"/>
        <w:jc w:val="both"/>
        <w:rPr>
          <w:rFonts w:ascii="Cambria" w:hAnsi="Cambria"/>
          <w:sz w:val="24"/>
          <w:szCs w:val="24"/>
          <w:lang w:eastAsia="pt-BR"/>
        </w:rPr>
      </w:pPr>
      <w:r>
        <w:rPr>
          <w:rFonts w:ascii="Cambria" w:hAnsi="Cambria"/>
          <w:sz w:val="24"/>
          <w:szCs w:val="24"/>
          <w:lang w:eastAsia="pt-BR"/>
        </w:rPr>
        <w:t>Quanto à logística reversa, caberá à contratada assegurar a destinação ambientalmente adequada dos resíduos eventualmente gerados durante as atividades de manutenção dos veículos, incluindo pneus inservíveis, baterias automotivas, filtros, óleos lubrificantes usados, embalagens contaminadas e demais materiais passíveis de reaproveitamento, reciclagem ou descarte controlado, observando a Política Nacional de Resíduos Sólidos (Lei Federal nº 12.305/2010) e demais normas ambientais pertinentes.</w:t>
      </w:r>
    </w:p>
    <w:p>
      <w:pPr>
        <w:ind w:firstLine="851"/>
        <w:jc w:val="both"/>
        <w:rPr>
          <w:rFonts w:ascii="Cambria" w:hAnsi="Cambria"/>
          <w:sz w:val="24"/>
          <w:szCs w:val="24"/>
          <w:lang w:eastAsia="pt-BR"/>
        </w:rPr>
      </w:pPr>
      <w:r>
        <w:rPr>
          <w:rFonts w:ascii="Cambria" w:hAnsi="Cambria"/>
          <w:sz w:val="24"/>
          <w:szCs w:val="24"/>
          <w:lang w:eastAsia="pt-BR"/>
        </w:rPr>
        <w:t>Considerando a natureza do objeto, não há aquisição de bens permanentes pela Administração nem geração direta de resíduos decorrentes da contratação, uma vez que os veículos permanecerão sob propriedade e responsabilidade da contratada durante toda a execução contratual.</w:t>
      </w:r>
    </w:p>
    <w:p>
      <w:pPr>
        <w:ind w:firstLine="851"/>
        <w:jc w:val="both"/>
        <w:rPr>
          <w:rFonts w:ascii="Cambria" w:hAnsi="Cambria"/>
          <w:sz w:val="24"/>
          <w:szCs w:val="24"/>
          <w:lang w:eastAsia="pt-BR"/>
        </w:rPr>
      </w:pPr>
      <w:r>
        <w:rPr>
          <w:rFonts w:ascii="Cambria" w:hAnsi="Cambria"/>
          <w:sz w:val="24"/>
          <w:szCs w:val="24"/>
          <w:lang w:eastAsia="pt-BR"/>
        </w:rPr>
        <w:t>Dessa forma, conclui-se que os impactos ambientais decorrentes da contratação são considerados de baixo potencial e podem ser adequadamente mitigados mediante a adoção das medidas acima descritas, assegurando a observância dos princípios da sustentabilidade e da responsabilidade ambiental na execução contratual.</w:t>
      </w:r>
    </w:p>
    <w:p>
      <w:pPr>
        <w:spacing w:line="276" w:lineRule="auto"/>
        <w:jc w:val="both"/>
        <w:rPr>
          <w:rFonts w:ascii="Cambria" w:eastAsia="Calibri" w:hAnsi="Cambria"/>
          <w:b/>
          <w:sz w:val="23"/>
          <w:szCs w:val="23"/>
        </w:rPr>
      </w:pPr>
    </w:p>
    <w:p>
      <w:pPr>
        <w:spacing w:line="276" w:lineRule="auto"/>
        <w:jc w:val="both"/>
        <w:rPr>
          <w:rFonts w:ascii="Cambria" w:eastAsia="Calibri" w:hAnsi="Cambria"/>
          <w:b/>
          <w:sz w:val="23"/>
          <w:szCs w:val="23"/>
        </w:rPr>
      </w:pPr>
      <w:r>
        <w:rPr>
          <w:rFonts w:ascii="Cambria" w:eastAsia="Calibri" w:hAnsi="Cambria"/>
          <w:b/>
          <w:sz w:val="23"/>
          <w:szCs w:val="23"/>
        </w:rPr>
        <w:t>13. POSICIONAMENTO CONCLUSIVO SOBRE A ADEQUAÇÃO DA CONTRATAÇÃO PARA O ATENDIMENTO DA NECESSIDADE A QUE SE DESTINA.</w:t>
      </w:r>
    </w:p>
    <w:p>
      <w:pPr>
        <w:spacing w:line="276" w:lineRule="auto"/>
        <w:ind w:firstLine="851"/>
        <w:jc w:val="both"/>
        <w:rPr>
          <w:rFonts w:ascii="Cambria" w:eastAsia="Calibri" w:hAnsi="Cambria"/>
          <w:sz w:val="23"/>
          <w:szCs w:val="23"/>
        </w:rPr>
      </w:pPr>
      <w:r>
        <w:rPr>
          <w:rFonts w:ascii="Cambria" w:eastAsia="Calibri" w:hAnsi="Cambria"/>
          <w:sz w:val="23"/>
          <w:szCs w:val="23"/>
        </w:rPr>
        <w:t>Após a realização dos estudos técnicos e análise dos elementos que compõem o presente Estudo Técnico Preliminar, conclui-se que a contratação de empresa especializada para a locação de veículos destinados ao atendimento das necessidades das diversas Secretarias do Município de Miraíma/CE mostra-se plenamente adequada, necessária e compatível com o interesse público a que se destina.</w:t>
      </w:r>
    </w:p>
    <w:p>
      <w:pPr>
        <w:spacing w:line="276" w:lineRule="auto"/>
        <w:ind w:firstLine="851"/>
        <w:jc w:val="both"/>
        <w:rPr>
          <w:rFonts w:ascii="Cambria" w:eastAsia="Calibri" w:hAnsi="Cambria"/>
          <w:sz w:val="23"/>
          <w:szCs w:val="23"/>
        </w:rPr>
      </w:pPr>
      <w:r>
        <w:rPr>
          <w:rFonts w:ascii="Cambria" w:eastAsia="Calibri" w:hAnsi="Cambria"/>
          <w:sz w:val="23"/>
          <w:szCs w:val="23"/>
        </w:rPr>
        <w:t>A solução proposta atende de forma satisfatória às demandas operacionais, administrativas e institucionais da Administração Municipal, proporcionando os meios necessários para o deslocamento de servidores, equipes técnicas, materiais, equipamentos e usuários dos serviços públicos, contribuindo para a continuidade e eficiência das atividades desenvolvidas pelas Secretarias Municipais.</w:t>
      </w:r>
    </w:p>
    <w:p>
      <w:pPr>
        <w:spacing w:line="276" w:lineRule="auto"/>
        <w:ind w:firstLine="851"/>
        <w:jc w:val="both"/>
        <w:rPr>
          <w:rFonts w:ascii="Cambria" w:eastAsia="Calibri" w:hAnsi="Cambria"/>
          <w:sz w:val="23"/>
          <w:szCs w:val="23"/>
        </w:rPr>
      </w:pPr>
      <w:r>
        <w:rPr>
          <w:rFonts w:ascii="Cambria" w:eastAsia="Calibri" w:hAnsi="Cambria"/>
          <w:sz w:val="23"/>
          <w:szCs w:val="23"/>
        </w:rPr>
        <w:t>A análise das alternativas disponíveis demonstrou que a locação de veículos representa a opção mais vantajosa sob os aspectos técnico e econômico, uma vez que permite a disponibilização de frota adequada às necessidades do Município sem a necessidade de elevados investimentos para aquisição de veículos próprios, além de transferir à contratada responsabilidades relacionadas à manutenção, substituição de veículos, depreciação patrimonial e demais custos inerentes à propriedade dos bens.</w:t>
      </w:r>
    </w:p>
    <w:p>
      <w:pPr>
        <w:spacing w:line="276" w:lineRule="auto"/>
        <w:ind w:firstLine="851"/>
        <w:jc w:val="both"/>
        <w:rPr>
          <w:rFonts w:ascii="Cambria" w:eastAsia="Calibri" w:hAnsi="Cambria"/>
          <w:sz w:val="23"/>
          <w:szCs w:val="23"/>
        </w:rPr>
      </w:pPr>
      <w:r>
        <w:rPr>
          <w:rFonts w:ascii="Cambria" w:eastAsia="Calibri" w:hAnsi="Cambria"/>
          <w:sz w:val="23"/>
          <w:szCs w:val="23"/>
        </w:rPr>
        <w:t xml:space="preserve">Verificou-se ainda que a contratação encontra-se alinhada ao planejamento da Administração, possui estimativa de custos compatível com os preços praticados no mercado, </w:t>
      </w:r>
      <w:r>
        <w:rPr>
          <w:rFonts w:ascii="Cambria" w:eastAsia="Calibri" w:hAnsi="Cambria"/>
          <w:sz w:val="23"/>
          <w:szCs w:val="23"/>
        </w:rPr>
        <w:lastRenderedPageBreak/>
        <w:t>apresenta viabilidade operacional e observa os princípios da economicidade, eficiência, continuidade dos serviços públicos e interesse público previstos na Lei Federal nº 14.133/2021.</w:t>
      </w:r>
    </w:p>
    <w:p>
      <w:pPr>
        <w:spacing w:line="276" w:lineRule="auto"/>
        <w:ind w:firstLine="851"/>
        <w:jc w:val="both"/>
        <w:rPr>
          <w:rFonts w:ascii="Cambria" w:eastAsia="Calibri" w:hAnsi="Cambria"/>
          <w:sz w:val="23"/>
          <w:szCs w:val="23"/>
        </w:rPr>
      </w:pPr>
      <w:r>
        <w:rPr>
          <w:rFonts w:ascii="Cambria" w:eastAsia="Calibri" w:hAnsi="Cambria"/>
          <w:sz w:val="23"/>
          <w:szCs w:val="23"/>
        </w:rPr>
        <w:t xml:space="preserve">Diante do exposto, conclui-se pela </w:t>
      </w:r>
      <w:r>
        <w:rPr>
          <w:rFonts w:ascii="Cambria" w:eastAsia="Calibri" w:hAnsi="Cambria"/>
          <w:b/>
          <w:bCs/>
          <w:sz w:val="23"/>
          <w:szCs w:val="23"/>
        </w:rPr>
        <w:t>viabilidade e adequação da contratação</w:t>
      </w:r>
      <w:r>
        <w:rPr>
          <w:rFonts w:ascii="Cambria" w:eastAsia="Calibri" w:hAnsi="Cambria"/>
          <w:sz w:val="23"/>
          <w:szCs w:val="23"/>
        </w:rPr>
        <w:t>, recomendando-se o prosseguimento dos procedimentos administrativos necessários à realização do processo licitatório e à futura celebração do contrato, por se tratar da solução que melhor atende às necessidades das diversas Secretarias do Município de Miraíma/CE e aos objetivos da Administração Pública.</w:t>
      </w:r>
    </w:p>
    <w:p>
      <w:pPr>
        <w:spacing w:after="160" w:line="259" w:lineRule="auto"/>
        <w:rPr>
          <w:rFonts w:ascii="Cambria" w:eastAsia="Calibri" w:hAnsi="Cambria"/>
          <w:sz w:val="23"/>
          <w:szCs w:val="23"/>
        </w:rPr>
      </w:pPr>
      <w:r>
        <w:rPr>
          <w:rFonts w:ascii="Cambria" w:eastAsia="Calibri" w:hAnsi="Cambria"/>
          <w:sz w:val="23"/>
          <w:szCs w:val="23"/>
        </w:rPr>
        <w:br w:type="page"/>
      </w:r>
    </w:p>
    <w:p>
      <w:pPr>
        <w:pStyle w:val="Ttulo1"/>
        <w:shd w:val="clear" w:color="auto" w:fill="F2F2F2" w:themeFill="background1" w:themeFillShade="F2"/>
        <w:jc w:val="center"/>
        <w:rPr>
          <w:rFonts w:ascii="Cambria" w:hAnsi="Cambria" w:cs="Times New Roman"/>
          <w:color w:val="auto"/>
          <w:sz w:val="24"/>
          <w:szCs w:val="24"/>
        </w:rPr>
      </w:pPr>
      <w:r>
        <w:rPr>
          <w:rFonts w:ascii="Cambria" w:hAnsi="Cambria" w:cs="Times New Roman"/>
          <w:color w:val="auto"/>
          <w:sz w:val="24"/>
          <w:szCs w:val="24"/>
        </w:rPr>
        <w:lastRenderedPageBreak/>
        <w:t>ANEXO II - MODELO DA PROPOSTA DE PREÇOS</w:t>
      </w:r>
    </w:p>
    <w:p>
      <w:pPr>
        <w:ind w:left="-567" w:right="-568"/>
        <w:jc w:val="center"/>
        <w:rPr>
          <w:rFonts w:ascii="Cambria" w:hAnsi="Cambria"/>
          <w:b/>
          <w:bCs/>
          <w:i/>
          <w:iCs/>
          <w:sz w:val="24"/>
          <w:szCs w:val="24"/>
        </w:rPr>
      </w:pPr>
    </w:p>
    <w:p>
      <w:pPr>
        <w:ind w:right="283"/>
        <w:jc w:val="both"/>
        <w:rPr>
          <w:rFonts w:ascii="Cambria" w:hAnsi="Cambria"/>
          <w:sz w:val="24"/>
          <w:szCs w:val="24"/>
        </w:rPr>
      </w:pPr>
      <w:r>
        <w:rPr>
          <w:rFonts w:ascii="Cambria" w:hAnsi="Cambria"/>
          <w:sz w:val="24"/>
          <w:szCs w:val="24"/>
        </w:rPr>
        <w:t>PREFEITURA MUNICIPAL DE MIRAÍMA</w:t>
      </w:r>
    </w:p>
    <w:p>
      <w:pPr>
        <w:ind w:right="283" w:firstLine="1134"/>
        <w:jc w:val="both"/>
        <w:rPr>
          <w:rFonts w:ascii="Cambria" w:hAnsi="Cambria"/>
          <w:b/>
          <w:sz w:val="24"/>
          <w:szCs w:val="24"/>
        </w:rPr>
      </w:pPr>
    </w:p>
    <w:p>
      <w:pPr>
        <w:ind w:right="-568"/>
        <w:jc w:val="both"/>
        <w:rPr>
          <w:rFonts w:ascii="Cambria" w:hAnsi="Cambria"/>
          <w:sz w:val="24"/>
          <w:szCs w:val="24"/>
        </w:rPr>
      </w:pPr>
      <w:r>
        <w:rPr>
          <w:rFonts w:ascii="Cambria" w:hAnsi="Cambria"/>
          <w:sz w:val="24"/>
          <w:szCs w:val="24"/>
        </w:rPr>
        <w:t>Razão Social: __________</w:t>
      </w:r>
    </w:p>
    <w:p>
      <w:pPr>
        <w:ind w:right="-568"/>
        <w:jc w:val="both"/>
        <w:rPr>
          <w:rFonts w:ascii="Cambria" w:hAnsi="Cambria"/>
          <w:sz w:val="24"/>
          <w:szCs w:val="24"/>
        </w:rPr>
      </w:pPr>
      <w:r>
        <w:rPr>
          <w:rFonts w:ascii="Cambria" w:hAnsi="Cambria"/>
          <w:sz w:val="24"/>
          <w:szCs w:val="24"/>
        </w:rPr>
        <w:t>CNPJ Nº.: _____________</w:t>
      </w:r>
    </w:p>
    <w:p>
      <w:pPr>
        <w:ind w:right="-568"/>
        <w:jc w:val="both"/>
        <w:rPr>
          <w:rFonts w:ascii="Cambria" w:hAnsi="Cambria"/>
          <w:sz w:val="24"/>
          <w:szCs w:val="24"/>
        </w:rPr>
      </w:pPr>
      <w:r>
        <w:rPr>
          <w:rFonts w:ascii="Cambria" w:hAnsi="Cambria"/>
          <w:sz w:val="24"/>
          <w:szCs w:val="24"/>
        </w:rPr>
        <w:t>Inscrição Estadual ou Municipal: ____________</w:t>
      </w:r>
    </w:p>
    <w:p>
      <w:pPr>
        <w:ind w:right="-568"/>
        <w:jc w:val="both"/>
        <w:rPr>
          <w:rFonts w:ascii="Cambria" w:hAnsi="Cambria"/>
          <w:sz w:val="24"/>
          <w:szCs w:val="24"/>
        </w:rPr>
      </w:pPr>
      <w:r>
        <w:rPr>
          <w:rFonts w:ascii="Cambria" w:hAnsi="Cambria"/>
          <w:sz w:val="24"/>
          <w:szCs w:val="24"/>
        </w:rPr>
        <w:t xml:space="preserve">Endereço: ____________ CEP: </w:t>
      </w:r>
      <w:r>
        <w:rPr>
          <w:rFonts w:ascii="Cambria" w:hAnsi="Cambria"/>
          <w:sz w:val="24"/>
          <w:szCs w:val="24"/>
        </w:rPr>
        <w:softHyphen/>
      </w:r>
      <w:r>
        <w:rPr>
          <w:rFonts w:ascii="Cambria" w:hAnsi="Cambria"/>
          <w:sz w:val="24"/>
          <w:szCs w:val="24"/>
        </w:rPr>
        <w:softHyphen/>
      </w:r>
      <w:r>
        <w:rPr>
          <w:rFonts w:ascii="Cambria" w:hAnsi="Cambria"/>
          <w:sz w:val="24"/>
          <w:szCs w:val="24"/>
        </w:rPr>
        <w:softHyphen/>
      </w:r>
      <w:r>
        <w:rPr>
          <w:rFonts w:ascii="Cambria" w:hAnsi="Cambria"/>
          <w:sz w:val="24"/>
          <w:szCs w:val="24"/>
        </w:rPr>
        <w:softHyphen/>
      </w:r>
      <w:r>
        <w:rPr>
          <w:rFonts w:ascii="Cambria" w:hAnsi="Cambria"/>
          <w:sz w:val="24"/>
          <w:szCs w:val="24"/>
        </w:rPr>
        <w:softHyphen/>
        <w:t>_________</w:t>
      </w:r>
    </w:p>
    <w:p>
      <w:pPr>
        <w:ind w:right="-568"/>
        <w:jc w:val="both"/>
        <w:rPr>
          <w:rFonts w:ascii="Cambria" w:hAnsi="Cambria"/>
          <w:sz w:val="24"/>
          <w:szCs w:val="24"/>
        </w:rPr>
      </w:pPr>
      <w:r>
        <w:rPr>
          <w:rFonts w:ascii="Cambria" w:hAnsi="Cambria"/>
          <w:sz w:val="24"/>
          <w:szCs w:val="24"/>
        </w:rPr>
        <w:t>Fone: _______ Fax: ______</w:t>
      </w:r>
    </w:p>
    <w:p>
      <w:pPr>
        <w:ind w:right="-568"/>
        <w:jc w:val="both"/>
        <w:rPr>
          <w:rFonts w:ascii="Cambria" w:hAnsi="Cambria"/>
          <w:sz w:val="24"/>
          <w:szCs w:val="24"/>
        </w:rPr>
      </w:pPr>
      <w:r>
        <w:rPr>
          <w:rFonts w:ascii="Cambria" w:hAnsi="Cambria"/>
          <w:sz w:val="24"/>
          <w:szCs w:val="24"/>
        </w:rPr>
        <w:t>Banco: ___________</w:t>
      </w:r>
    </w:p>
    <w:p>
      <w:pPr>
        <w:ind w:right="-568"/>
        <w:jc w:val="both"/>
        <w:rPr>
          <w:rFonts w:ascii="Cambria" w:hAnsi="Cambria"/>
          <w:sz w:val="24"/>
          <w:szCs w:val="24"/>
        </w:rPr>
      </w:pPr>
      <w:r>
        <w:rPr>
          <w:rFonts w:ascii="Cambria" w:hAnsi="Cambria"/>
          <w:sz w:val="24"/>
          <w:szCs w:val="24"/>
        </w:rPr>
        <w:t>Agência Nº.: _________</w:t>
      </w:r>
    </w:p>
    <w:p>
      <w:pPr>
        <w:ind w:right="-568"/>
        <w:jc w:val="both"/>
        <w:rPr>
          <w:rFonts w:ascii="Cambria" w:hAnsi="Cambria"/>
          <w:sz w:val="24"/>
          <w:szCs w:val="24"/>
        </w:rPr>
      </w:pPr>
      <w:r>
        <w:rPr>
          <w:rFonts w:ascii="Cambria" w:hAnsi="Cambria"/>
          <w:sz w:val="24"/>
          <w:szCs w:val="24"/>
        </w:rPr>
        <w:t>Conta Corrente Nº.: ___________</w:t>
      </w:r>
    </w:p>
    <w:p>
      <w:pPr>
        <w:jc w:val="both"/>
        <w:rPr>
          <w:rFonts w:ascii="Cambria" w:hAnsi="Cambria"/>
          <w:b/>
          <w:sz w:val="24"/>
          <w:szCs w:val="24"/>
        </w:rPr>
      </w:pPr>
      <w:r>
        <w:rPr>
          <w:rFonts w:ascii="Cambria" w:hAnsi="Cambria"/>
          <w:b/>
          <w:sz w:val="24"/>
          <w:szCs w:val="24"/>
        </w:rPr>
        <w:t>E-mail:________________________________________</w:t>
      </w:r>
    </w:p>
    <w:p>
      <w:pPr>
        <w:jc w:val="both"/>
        <w:rPr>
          <w:rFonts w:ascii="Cambria" w:hAnsi="Cambria"/>
          <w:b/>
          <w:sz w:val="24"/>
          <w:szCs w:val="24"/>
        </w:rPr>
      </w:pPr>
    </w:p>
    <w:p>
      <w:pPr>
        <w:jc w:val="both"/>
        <w:rPr>
          <w:rFonts w:ascii="Cambria" w:hAnsi="Cambria"/>
          <w:bCs/>
          <w:sz w:val="24"/>
          <w:szCs w:val="24"/>
        </w:rPr>
      </w:pPr>
      <w:r>
        <w:rPr>
          <w:rFonts w:ascii="Cambria" w:hAnsi="Cambria"/>
          <w:b/>
          <w:sz w:val="24"/>
          <w:szCs w:val="24"/>
        </w:rPr>
        <w:t xml:space="preserve">OBJETO: </w:t>
      </w:r>
      <w:r>
        <w:rPr>
          <w:rFonts w:ascii="Cambria" w:hAnsi="Cambria"/>
          <w:bCs/>
          <w:sz w:val="24"/>
          <w:szCs w:val="24"/>
        </w:rPr>
        <w:t>LOCAÇÃO DE VEÍCULOS DESTINADOS AO ATENDIMENTO DAS NECESSIDADES DAS DIVERSAS SECRETARIAS DO MUNICÍPIO DE MIRAÍMA/CE.</w:t>
      </w:r>
    </w:p>
    <w:p>
      <w:pPr>
        <w:jc w:val="both"/>
        <w:rPr>
          <w:rFonts w:ascii="Cambria" w:hAnsi="Cambria"/>
          <w:sz w:val="24"/>
          <w:szCs w:val="24"/>
          <w:shd w:val="clear" w:color="auto" w:fill="FFFFFF"/>
        </w:rPr>
      </w:pPr>
    </w:p>
    <w:tbl>
      <w:tblPr>
        <w:tblStyle w:val="Tabelacomgrade"/>
        <w:tblW w:w="9385" w:type="dxa"/>
        <w:tblInd w:w="108" w:type="dxa"/>
        <w:tblLayout w:type="fixed"/>
        <w:tblLook w:val="04A0" w:firstRow="1" w:lastRow="0" w:firstColumn="1" w:lastColumn="0" w:noHBand="0" w:noVBand="1"/>
      </w:tblPr>
      <w:tblGrid>
        <w:gridCol w:w="750"/>
        <w:gridCol w:w="3815"/>
        <w:gridCol w:w="851"/>
        <w:gridCol w:w="1275"/>
        <w:gridCol w:w="1418"/>
        <w:gridCol w:w="1276"/>
      </w:tblGrid>
      <w:tr>
        <w:tc>
          <w:tcPr>
            <w:tcW w:w="750"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ITEM</w:t>
            </w:r>
          </w:p>
        </w:tc>
        <w:tc>
          <w:tcPr>
            <w:tcW w:w="3815"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ESPECIFICAÇÕES</w:t>
            </w:r>
          </w:p>
        </w:tc>
        <w:tc>
          <w:tcPr>
            <w:tcW w:w="851"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UND</w:t>
            </w:r>
          </w:p>
        </w:tc>
        <w:tc>
          <w:tcPr>
            <w:tcW w:w="1275"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QUANT</w:t>
            </w:r>
          </w:p>
        </w:tc>
        <w:tc>
          <w:tcPr>
            <w:tcW w:w="1418"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V. UNITÁRIO</w:t>
            </w:r>
          </w:p>
        </w:tc>
        <w:tc>
          <w:tcPr>
            <w:tcW w:w="1276"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
                <w:sz w:val="18"/>
                <w:szCs w:val="18"/>
                <w:shd w:val="clear" w:color="auto" w:fill="FFFFFF"/>
              </w:rPr>
            </w:pPr>
            <w:r>
              <w:rPr>
                <w:rFonts w:ascii="Cambria" w:hAnsi="Cambria"/>
                <w:b/>
                <w:sz w:val="18"/>
                <w:szCs w:val="18"/>
                <w:shd w:val="clear" w:color="auto" w:fill="FFFFFF"/>
              </w:rPr>
              <w:t>V. TOTAL</w:t>
            </w:r>
          </w:p>
        </w:tc>
      </w:tr>
      <w:tr>
        <w:trPr>
          <w:trHeight w:val="368"/>
        </w:trPr>
        <w:tc>
          <w:tcPr>
            <w:tcW w:w="750" w:type="dxa"/>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Cs/>
                <w:sz w:val="18"/>
                <w:szCs w:val="18"/>
                <w:shd w:val="clear" w:color="auto" w:fill="FFFFFF"/>
              </w:rPr>
            </w:pPr>
          </w:p>
        </w:tc>
        <w:tc>
          <w:tcPr>
            <w:tcW w:w="3815" w:type="dxa"/>
            <w:tcBorders>
              <w:top w:val="single" w:sz="4" w:space="0" w:color="auto"/>
              <w:left w:val="single" w:sz="4" w:space="0" w:color="auto"/>
              <w:bottom w:val="single" w:sz="4" w:space="0" w:color="auto"/>
              <w:right w:val="single" w:sz="4" w:space="0" w:color="auto"/>
            </w:tcBorders>
          </w:tcPr>
          <w:p>
            <w:pPr>
              <w:jc w:val="both"/>
              <w:rPr>
                <w:rFonts w:ascii="Cambria" w:hAnsi="Cambria"/>
                <w:bCs/>
                <w:sz w:val="18"/>
                <w:szCs w:val="18"/>
                <w:shd w:val="clear" w:color="auto" w:fill="FFFFFF"/>
              </w:rPr>
            </w:pPr>
          </w:p>
        </w:tc>
        <w:tc>
          <w:tcPr>
            <w:tcW w:w="851" w:type="dxa"/>
            <w:tcBorders>
              <w:top w:val="single" w:sz="4" w:space="0" w:color="auto"/>
              <w:left w:val="single" w:sz="4" w:space="0" w:color="auto"/>
              <w:bottom w:val="single" w:sz="4" w:space="0" w:color="auto"/>
              <w:right w:val="single" w:sz="4" w:space="0" w:color="auto"/>
            </w:tcBorders>
            <w:vAlign w:val="center"/>
          </w:tcPr>
          <w:p>
            <w:pPr>
              <w:jc w:val="center"/>
              <w:rPr>
                <w:rFonts w:ascii="Cambria" w:hAnsi="Cambria"/>
                <w:bCs/>
                <w:sz w:val="18"/>
                <w:szCs w:val="18"/>
                <w:shd w:val="clear" w:color="auto" w:fill="FFFFFF"/>
              </w:rPr>
            </w:pPr>
          </w:p>
        </w:tc>
        <w:tc>
          <w:tcPr>
            <w:tcW w:w="1275" w:type="dxa"/>
            <w:tcBorders>
              <w:top w:val="single" w:sz="4" w:space="0" w:color="auto"/>
              <w:left w:val="single" w:sz="4" w:space="0" w:color="auto"/>
              <w:bottom w:val="single" w:sz="4" w:space="0" w:color="auto"/>
              <w:right w:val="single" w:sz="4" w:space="0" w:color="auto"/>
            </w:tcBorders>
            <w:vAlign w:val="center"/>
          </w:tcPr>
          <w:p>
            <w:pPr>
              <w:jc w:val="center"/>
              <w:rPr>
                <w:rFonts w:ascii="Cambria" w:hAnsi="Cambria"/>
                <w:bCs/>
                <w:sz w:val="18"/>
                <w:szCs w:val="18"/>
                <w:shd w:val="clear" w:color="auto" w:fill="FFFFFF"/>
              </w:rPr>
            </w:pPr>
          </w:p>
        </w:tc>
        <w:tc>
          <w:tcPr>
            <w:tcW w:w="1418" w:type="dxa"/>
            <w:tcBorders>
              <w:top w:val="single" w:sz="4" w:space="0" w:color="auto"/>
              <w:left w:val="single" w:sz="4" w:space="0" w:color="auto"/>
              <w:bottom w:val="single" w:sz="4" w:space="0" w:color="auto"/>
              <w:right w:val="single" w:sz="4" w:space="0" w:color="auto"/>
            </w:tcBorders>
            <w:vAlign w:val="center"/>
          </w:tcPr>
          <w:p>
            <w:pPr>
              <w:jc w:val="center"/>
              <w:rPr>
                <w:rFonts w:ascii="Cambria" w:hAnsi="Cambria"/>
                <w:bCs/>
                <w:sz w:val="18"/>
                <w:szCs w:val="18"/>
                <w:shd w:val="clear" w:color="auto" w:fill="FFFFFF"/>
              </w:rPr>
            </w:pPr>
          </w:p>
        </w:tc>
        <w:tc>
          <w:tcPr>
            <w:tcW w:w="1276" w:type="dxa"/>
            <w:tcBorders>
              <w:top w:val="single" w:sz="4" w:space="0" w:color="auto"/>
              <w:left w:val="single" w:sz="4" w:space="0" w:color="auto"/>
              <w:bottom w:val="single" w:sz="4" w:space="0" w:color="auto"/>
              <w:right w:val="single" w:sz="4" w:space="0" w:color="auto"/>
            </w:tcBorders>
            <w:vAlign w:val="center"/>
          </w:tcPr>
          <w:p>
            <w:pPr>
              <w:jc w:val="center"/>
              <w:rPr>
                <w:rFonts w:ascii="Cambria" w:hAnsi="Cambria"/>
                <w:bCs/>
                <w:sz w:val="18"/>
                <w:szCs w:val="18"/>
                <w:shd w:val="clear" w:color="auto" w:fill="FFFFFF"/>
              </w:rPr>
            </w:pPr>
          </w:p>
        </w:tc>
      </w:tr>
      <w:tr>
        <w:tc>
          <w:tcPr>
            <w:tcW w:w="9385" w:type="dxa"/>
            <w:gridSpan w:val="6"/>
            <w:tcBorders>
              <w:top w:val="single" w:sz="4" w:space="0" w:color="auto"/>
              <w:left w:val="single" w:sz="4" w:space="0" w:color="auto"/>
              <w:bottom w:val="single" w:sz="4" w:space="0" w:color="auto"/>
              <w:right w:val="single" w:sz="4" w:space="0" w:color="auto"/>
            </w:tcBorders>
            <w:vAlign w:val="center"/>
            <w:hideMark/>
          </w:tcPr>
          <w:p>
            <w:pPr>
              <w:jc w:val="center"/>
              <w:rPr>
                <w:rFonts w:ascii="Cambria" w:hAnsi="Cambria"/>
                <w:bCs/>
                <w:sz w:val="18"/>
                <w:szCs w:val="18"/>
                <w:shd w:val="clear" w:color="auto" w:fill="FFFFFF"/>
              </w:rPr>
            </w:pPr>
            <w:r>
              <w:rPr>
                <w:rFonts w:ascii="Cambria" w:hAnsi="Cambria"/>
                <w:bCs/>
                <w:sz w:val="18"/>
                <w:szCs w:val="18"/>
                <w:shd w:val="clear" w:color="auto" w:fill="FFFFFF"/>
              </w:rPr>
              <w:t>VALOR GLOBAL:</w:t>
            </w:r>
          </w:p>
        </w:tc>
      </w:tr>
    </w:tbl>
    <w:p>
      <w:pPr>
        <w:jc w:val="both"/>
        <w:rPr>
          <w:rFonts w:ascii="Cambria" w:hAnsi="Cambria"/>
          <w:sz w:val="24"/>
          <w:szCs w:val="24"/>
          <w:shd w:val="clear" w:color="auto" w:fill="FFFFFF"/>
        </w:rPr>
      </w:pPr>
    </w:p>
    <w:p>
      <w:pPr>
        <w:jc w:val="both"/>
        <w:rPr>
          <w:rFonts w:ascii="Cambria" w:hAnsi="Cambria"/>
          <w:sz w:val="24"/>
          <w:szCs w:val="24"/>
        </w:rPr>
      </w:pPr>
      <w:r>
        <w:rPr>
          <w:rFonts w:ascii="Cambria" w:hAnsi="Cambria"/>
          <w:b/>
          <w:sz w:val="24"/>
          <w:szCs w:val="24"/>
        </w:rPr>
        <w:t xml:space="preserve">VALOR DOS ITENS: </w:t>
      </w:r>
      <w:r>
        <w:rPr>
          <w:rFonts w:ascii="Cambria" w:hAnsi="Cambria"/>
          <w:sz w:val="24"/>
          <w:szCs w:val="24"/>
        </w:rPr>
        <w:t>R$ .......................</w:t>
      </w:r>
    </w:p>
    <w:p>
      <w:pPr>
        <w:jc w:val="both"/>
        <w:rPr>
          <w:rFonts w:ascii="Cambria" w:hAnsi="Cambria"/>
          <w:sz w:val="24"/>
          <w:szCs w:val="24"/>
        </w:rPr>
      </w:pPr>
      <w:r>
        <w:rPr>
          <w:rFonts w:ascii="Cambria" w:hAnsi="Cambria"/>
          <w:b/>
          <w:sz w:val="24"/>
          <w:szCs w:val="24"/>
        </w:rPr>
        <w:t xml:space="preserve">VALIDADE DA PROPOSTA: </w:t>
      </w:r>
      <w:r>
        <w:rPr>
          <w:rFonts w:ascii="Cambria" w:hAnsi="Cambria"/>
          <w:sz w:val="24"/>
          <w:szCs w:val="24"/>
        </w:rPr>
        <w:t>60 (sessenta) dias.</w:t>
      </w:r>
    </w:p>
    <w:p>
      <w:pPr>
        <w:ind w:right="-568"/>
        <w:jc w:val="both"/>
        <w:rPr>
          <w:rFonts w:ascii="Cambria" w:hAnsi="Cambria"/>
          <w:sz w:val="24"/>
          <w:szCs w:val="24"/>
        </w:rPr>
      </w:pPr>
    </w:p>
    <w:p>
      <w:pPr>
        <w:tabs>
          <w:tab w:val="left" w:pos="3726"/>
        </w:tabs>
        <w:rPr>
          <w:rFonts w:ascii="Cambria" w:hAnsi="Cambria"/>
          <w:b/>
          <w:sz w:val="24"/>
          <w:szCs w:val="24"/>
        </w:rPr>
      </w:pPr>
      <w:r>
        <w:rPr>
          <w:rFonts w:ascii="Cambria" w:hAnsi="Cambria"/>
          <w:b/>
          <w:sz w:val="24"/>
          <w:szCs w:val="24"/>
        </w:rPr>
        <w:t>Observações:</w:t>
      </w:r>
    </w:p>
    <w:p>
      <w:pPr>
        <w:pStyle w:val="Cabealho"/>
        <w:jc w:val="both"/>
        <w:rPr>
          <w:rFonts w:ascii="Cambria" w:hAnsi="Cambria"/>
          <w:sz w:val="24"/>
          <w:szCs w:val="24"/>
        </w:rPr>
      </w:pPr>
      <w:r>
        <w:rPr>
          <w:rFonts w:ascii="Cambria" w:hAnsi="Cambria"/>
          <w:sz w:val="24"/>
          <w:szCs w:val="24"/>
        </w:rPr>
        <w:t>-O proponente declara que no valor proposto estão incluídas todas as despesas necessárias à realização dos serviços, inclusive as relacionadas com:</w:t>
      </w:r>
    </w:p>
    <w:p>
      <w:pPr>
        <w:jc w:val="both"/>
        <w:rPr>
          <w:rFonts w:ascii="Cambria" w:hAnsi="Cambria"/>
          <w:sz w:val="24"/>
          <w:szCs w:val="24"/>
        </w:rPr>
      </w:pPr>
      <w:r>
        <w:rPr>
          <w:rFonts w:ascii="Cambria" w:hAnsi="Cambria"/>
          <w:sz w:val="24"/>
          <w:szCs w:val="24"/>
        </w:rPr>
        <w:t>-Encargos sociais, trabalhistas, previdenciários e outros;</w:t>
      </w:r>
    </w:p>
    <w:p>
      <w:pPr>
        <w:jc w:val="both"/>
        <w:rPr>
          <w:rFonts w:ascii="Cambria" w:hAnsi="Cambria"/>
          <w:sz w:val="24"/>
          <w:szCs w:val="24"/>
        </w:rPr>
      </w:pPr>
      <w:r>
        <w:rPr>
          <w:rFonts w:ascii="Cambria" w:hAnsi="Cambria"/>
          <w:sz w:val="24"/>
          <w:szCs w:val="24"/>
        </w:rPr>
        <w:t>-Tributos, taxas e tarifas, emolumentos, licenças, alvarás, multas e/ou qualquer infrações;</w:t>
      </w:r>
    </w:p>
    <w:p>
      <w:pPr>
        <w:jc w:val="both"/>
        <w:rPr>
          <w:rFonts w:ascii="Cambria" w:hAnsi="Cambria"/>
          <w:sz w:val="24"/>
          <w:szCs w:val="24"/>
        </w:rPr>
      </w:pPr>
      <w:r>
        <w:rPr>
          <w:rFonts w:ascii="Cambria" w:hAnsi="Cambria"/>
          <w:sz w:val="24"/>
          <w:szCs w:val="24"/>
        </w:rPr>
        <w:t>-Seguros em geral, da infortunística e de responsabilidade civil para quaisquer danos e prejuízos causados à Contratante e/ou a terceiros, gerados direta ou indiretamente pelo fornecimento.</w:t>
      </w:r>
    </w:p>
    <w:p>
      <w:pPr>
        <w:jc w:val="center"/>
        <w:rPr>
          <w:rFonts w:ascii="Cambria" w:hAnsi="Cambria"/>
          <w:b/>
          <w:sz w:val="24"/>
          <w:szCs w:val="24"/>
        </w:rPr>
      </w:pPr>
    </w:p>
    <w:p>
      <w:pPr>
        <w:jc w:val="center"/>
        <w:rPr>
          <w:rFonts w:ascii="Cambria" w:hAnsi="Cambria"/>
          <w:b/>
          <w:sz w:val="24"/>
          <w:szCs w:val="24"/>
        </w:rPr>
      </w:pPr>
      <w:r>
        <w:rPr>
          <w:rFonts w:ascii="Cambria" w:hAnsi="Cambria"/>
          <w:b/>
          <w:sz w:val="24"/>
          <w:szCs w:val="24"/>
        </w:rPr>
        <w:t>Local/Data: ...................., ........... de ............................ de ......................</w:t>
      </w:r>
    </w:p>
    <w:p>
      <w:pPr>
        <w:tabs>
          <w:tab w:val="left" w:pos="1427"/>
        </w:tabs>
        <w:rPr>
          <w:rFonts w:ascii="Cambria" w:hAnsi="Cambria"/>
          <w:sz w:val="24"/>
          <w:szCs w:val="24"/>
        </w:rPr>
      </w:pPr>
      <w:r>
        <w:rPr>
          <w:rFonts w:ascii="Cambria" w:hAnsi="Cambria"/>
          <w:b/>
          <w:sz w:val="24"/>
          <w:szCs w:val="24"/>
        </w:rPr>
        <w:tab/>
      </w:r>
      <w:r>
        <w:rPr>
          <w:rFonts w:ascii="Cambria" w:hAnsi="Cambria"/>
          <w:sz w:val="24"/>
          <w:szCs w:val="24"/>
        </w:rPr>
        <w:tab/>
      </w:r>
      <w:r>
        <w:rPr>
          <w:rFonts w:ascii="Cambria" w:hAnsi="Cambria"/>
          <w:sz w:val="24"/>
          <w:szCs w:val="24"/>
        </w:rPr>
        <w:tab/>
      </w:r>
    </w:p>
    <w:p>
      <w:pPr>
        <w:pStyle w:val="Cabealho"/>
        <w:tabs>
          <w:tab w:val="left" w:pos="708"/>
        </w:tabs>
        <w:jc w:val="center"/>
        <w:rPr>
          <w:rFonts w:ascii="Cambria" w:hAnsi="Cambria"/>
          <w:b/>
          <w:bCs/>
          <w:sz w:val="24"/>
          <w:szCs w:val="24"/>
        </w:rPr>
      </w:pPr>
      <w:r>
        <w:rPr>
          <w:rFonts w:ascii="Cambria" w:hAnsi="Cambria"/>
          <w:b/>
          <w:bCs/>
          <w:sz w:val="24"/>
          <w:szCs w:val="24"/>
        </w:rPr>
        <w:t>Assinatura Proponente</w:t>
      </w:r>
    </w:p>
    <w:p>
      <w:pPr>
        <w:pStyle w:val="Cabealho"/>
        <w:tabs>
          <w:tab w:val="left" w:pos="708"/>
        </w:tabs>
        <w:jc w:val="center"/>
        <w:rPr>
          <w:rFonts w:ascii="Cambria" w:hAnsi="Cambria"/>
          <w:b/>
          <w:bCs/>
          <w:sz w:val="24"/>
          <w:szCs w:val="24"/>
        </w:rPr>
      </w:pPr>
      <w:r>
        <w:rPr>
          <w:rFonts w:ascii="Cambria" w:hAnsi="Cambria"/>
          <w:b/>
          <w:bCs/>
          <w:sz w:val="24"/>
          <w:szCs w:val="24"/>
        </w:rPr>
        <w:t>Carimbo da empresa/Assinatura do responsável legal</w:t>
      </w:r>
    </w:p>
    <w:p>
      <w:pPr>
        <w:spacing w:after="160" w:line="259" w:lineRule="auto"/>
        <w:rPr>
          <w:rFonts w:ascii="Cambria" w:hAnsi="Cambria"/>
          <w:sz w:val="24"/>
          <w:szCs w:val="24"/>
        </w:rPr>
      </w:pPr>
      <w:r>
        <w:rPr>
          <w:rFonts w:ascii="Cambria" w:hAnsi="Cambria"/>
          <w:sz w:val="24"/>
          <w:szCs w:val="24"/>
        </w:rPr>
        <w:br w:type="page"/>
      </w:r>
    </w:p>
    <w:p>
      <w:pPr>
        <w:pStyle w:val="Ttulo1"/>
        <w:shd w:val="clear" w:color="auto" w:fill="F2F2F2" w:themeFill="background1" w:themeFillShade="F2"/>
        <w:jc w:val="center"/>
        <w:rPr>
          <w:rFonts w:ascii="Cambria" w:hAnsi="Cambria" w:cs="Times New Roman"/>
          <w:b/>
          <w:color w:val="auto"/>
          <w:sz w:val="24"/>
          <w:szCs w:val="24"/>
        </w:rPr>
      </w:pPr>
      <w:r>
        <w:rPr>
          <w:rFonts w:ascii="Cambria" w:hAnsi="Cambria" w:cs="Times New Roman"/>
          <w:b/>
          <w:color w:val="auto"/>
          <w:sz w:val="24"/>
          <w:szCs w:val="24"/>
        </w:rPr>
        <w:lastRenderedPageBreak/>
        <w:t>ANEXO III - MINUTA DO CONTRATO</w:t>
      </w:r>
    </w:p>
    <w:p>
      <w:pPr>
        <w:autoSpaceDE w:val="0"/>
        <w:autoSpaceDN w:val="0"/>
        <w:adjustRightInd w:val="0"/>
        <w:jc w:val="both"/>
        <w:rPr>
          <w:rFonts w:ascii="Cambria" w:hAnsi="Cambria"/>
          <w:sz w:val="24"/>
          <w:szCs w:val="24"/>
        </w:rPr>
      </w:pPr>
    </w:p>
    <w:p>
      <w:pPr>
        <w:autoSpaceDE w:val="0"/>
        <w:autoSpaceDN w:val="0"/>
        <w:adjustRightInd w:val="0"/>
        <w:jc w:val="both"/>
        <w:rPr>
          <w:rFonts w:ascii="Cambria" w:hAnsi="Cambria"/>
          <w:b/>
          <w:sz w:val="24"/>
          <w:szCs w:val="24"/>
        </w:rPr>
      </w:pPr>
      <w:r>
        <w:rPr>
          <w:rFonts w:ascii="Cambria" w:hAnsi="Cambria"/>
          <w:b/>
          <w:sz w:val="24"/>
          <w:szCs w:val="24"/>
        </w:rPr>
        <w:t>CONTRATO Nº _____________</w:t>
      </w:r>
    </w:p>
    <w:p>
      <w:pPr>
        <w:rPr>
          <w:rFonts w:ascii="Cambria" w:hAnsi="Cambria"/>
          <w:b/>
          <w:sz w:val="24"/>
          <w:szCs w:val="24"/>
        </w:rPr>
      </w:pPr>
      <w:r>
        <w:rPr>
          <w:rFonts w:ascii="Cambria" w:hAnsi="Cambria"/>
          <w:b/>
          <w:sz w:val="24"/>
          <w:szCs w:val="24"/>
        </w:rPr>
        <w:t xml:space="preserve">PREGÃO ELETRÔNICO Nº </w:t>
      </w:r>
      <w:r>
        <w:rPr>
          <w:rFonts w:ascii="Cambria" w:hAnsi="Cambria"/>
          <w:b/>
          <w:bCs/>
          <w:sz w:val="24"/>
          <w:szCs w:val="24"/>
        </w:rPr>
        <w:t>____.__.__.__</w:t>
      </w:r>
    </w:p>
    <w:p>
      <w:pPr>
        <w:jc w:val="both"/>
        <w:rPr>
          <w:rFonts w:ascii="Cambria" w:hAnsi="Cambria"/>
          <w:sz w:val="24"/>
          <w:szCs w:val="24"/>
        </w:rPr>
      </w:pPr>
    </w:p>
    <w:p>
      <w:pPr>
        <w:autoSpaceDE w:val="0"/>
        <w:ind w:left="5103"/>
        <w:jc w:val="both"/>
        <w:rPr>
          <w:rFonts w:ascii="Cambria" w:hAnsi="Cambria"/>
          <w:sz w:val="24"/>
          <w:szCs w:val="24"/>
        </w:rPr>
      </w:pPr>
      <w:r>
        <w:rPr>
          <w:rFonts w:ascii="Cambria" w:hAnsi="Cambria"/>
          <w:sz w:val="24"/>
          <w:szCs w:val="24"/>
        </w:rPr>
        <w:t>CONTRATO QUE ENTRE SI CELEBRAM, DE UM LADO A PREFEITURA MUNICIPAL DE MIRAÍMA, E DO OUTRO A EMPRESA</w:t>
      </w:r>
      <w:r>
        <w:rPr>
          <w:rFonts w:ascii="Cambria" w:hAnsi="Cambria"/>
          <w:b/>
          <w:sz w:val="24"/>
          <w:szCs w:val="24"/>
        </w:rPr>
        <w:t>______________</w:t>
      </w:r>
      <w:r>
        <w:rPr>
          <w:rFonts w:ascii="Cambria" w:hAnsi="Cambria"/>
          <w:sz w:val="24"/>
          <w:szCs w:val="24"/>
        </w:rPr>
        <w:t>PARA O FIM QUE NELE SE DECLARA.</w:t>
      </w:r>
    </w:p>
    <w:p>
      <w:pPr>
        <w:tabs>
          <w:tab w:val="left" w:pos="8100"/>
        </w:tabs>
        <w:autoSpaceDE w:val="0"/>
        <w:jc w:val="both"/>
        <w:rPr>
          <w:rFonts w:ascii="Cambria" w:hAnsi="Cambria"/>
          <w:sz w:val="24"/>
          <w:szCs w:val="24"/>
        </w:rPr>
      </w:pPr>
    </w:p>
    <w:p>
      <w:pPr>
        <w:tabs>
          <w:tab w:val="left" w:pos="8100"/>
        </w:tabs>
        <w:autoSpaceDE w:val="0"/>
        <w:jc w:val="both"/>
        <w:rPr>
          <w:rFonts w:ascii="Cambria" w:hAnsi="Cambria"/>
          <w:b/>
          <w:sz w:val="24"/>
          <w:szCs w:val="24"/>
        </w:rPr>
      </w:pPr>
      <w:r>
        <w:rPr>
          <w:rFonts w:ascii="Cambria" w:hAnsi="Cambria"/>
          <w:sz w:val="24"/>
          <w:szCs w:val="24"/>
          <w:lang w:val="pt-PT" w:eastAsia="ar-SA"/>
        </w:rPr>
        <w:t xml:space="preserve">O Município de Miraíma/CE, por meio da </w:t>
      </w:r>
      <w:r>
        <w:rPr>
          <w:rFonts w:ascii="Cambria" w:hAnsi="Cambria"/>
          <w:b/>
          <w:spacing w:val="-4"/>
          <w:sz w:val="24"/>
          <w:szCs w:val="24"/>
        </w:rPr>
        <w:t xml:space="preserve">PREFEITURA MUNICIPAL DE </w:t>
      </w:r>
      <w:r>
        <w:rPr>
          <w:rFonts w:ascii="Cambria" w:hAnsi="Cambria"/>
          <w:b/>
          <w:spacing w:val="-2"/>
          <w:sz w:val="24"/>
          <w:szCs w:val="24"/>
        </w:rPr>
        <w:t>MIRAÍMA</w:t>
      </w:r>
      <w:r>
        <w:rPr>
          <w:rFonts w:ascii="Cambria" w:hAnsi="Cambria"/>
          <w:b/>
          <w:spacing w:val="-4"/>
          <w:sz w:val="24"/>
          <w:szCs w:val="24"/>
        </w:rPr>
        <w:t xml:space="preserve">, </w:t>
      </w:r>
      <w:r>
        <w:rPr>
          <w:rFonts w:ascii="Cambria" w:hAnsi="Cambria"/>
          <w:spacing w:val="-4"/>
          <w:sz w:val="24"/>
          <w:szCs w:val="24"/>
        </w:rPr>
        <w:t xml:space="preserve">Estado do Ceará, pessoa jurídica de direito público interno, inscrita no </w:t>
      </w:r>
      <w:r>
        <w:rPr>
          <w:rFonts w:ascii="Cambria" w:hAnsi="Cambria"/>
          <w:sz w:val="24"/>
          <w:szCs w:val="24"/>
        </w:rPr>
        <w:t xml:space="preserve">CNPJ sob o </w:t>
      </w:r>
      <w:r>
        <w:rPr>
          <w:rFonts w:ascii="Cambria" w:hAnsi="Cambria"/>
          <w:spacing w:val="-4"/>
          <w:sz w:val="24"/>
          <w:szCs w:val="24"/>
        </w:rPr>
        <w:t>N.º [CNPJ], com sede de sua Prefeitura</w:t>
      </w:r>
      <w:r>
        <w:rPr>
          <w:rFonts w:ascii="Cambria" w:hAnsi="Cambria"/>
          <w:sz w:val="24"/>
          <w:szCs w:val="24"/>
          <w:lang w:val="pt-PT" w:eastAsia="ar-SA"/>
        </w:rPr>
        <w:t xml:space="preserve"> Municipal na </w:t>
      </w:r>
      <w:r>
        <w:rPr>
          <w:rFonts w:ascii="Cambria" w:hAnsi="Cambria"/>
          <w:sz w:val="24"/>
          <w:szCs w:val="24"/>
          <w:lang w:val="pt-PT"/>
        </w:rPr>
        <w:t xml:space="preserve">[ENDEREÇO] </w:t>
      </w:r>
      <w:r>
        <w:rPr>
          <w:rFonts w:ascii="Cambria" w:hAnsi="Cambria"/>
          <w:sz w:val="24"/>
          <w:szCs w:val="24"/>
        </w:rPr>
        <w:t>Miraíma/CE</w:t>
      </w:r>
      <w:r>
        <w:rPr>
          <w:rFonts w:ascii="Cambria" w:hAnsi="Cambria"/>
          <w:spacing w:val="-4"/>
          <w:sz w:val="24"/>
          <w:szCs w:val="24"/>
        </w:rPr>
        <w:t xml:space="preserve">, </w:t>
      </w:r>
      <w:r>
        <w:rPr>
          <w:rFonts w:ascii="Cambria" w:hAnsi="Cambria"/>
          <w:sz w:val="24"/>
          <w:szCs w:val="24"/>
          <w:lang w:val="pt-PT" w:eastAsia="ar-SA"/>
        </w:rPr>
        <w:t xml:space="preserve">através da </w:t>
      </w:r>
      <w:r>
        <w:rPr>
          <w:rFonts w:ascii="Cambria" w:hAnsi="Cambria"/>
          <w:b/>
          <w:caps/>
          <w:sz w:val="24"/>
          <w:szCs w:val="24"/>
          <w:lang w:val="pt-PT" w:eastAsia="ar-SA"/>
        </w:rPr>
        <w:t>Secretaria de __________________</w:t>
      </w:r>
      <w:r>
        <w:rPr>
          <w:rFonts w:ascii="Cambria" w:hAnsi="Cambria"/>
          <w:sz w:val="24"/>
          <w:szCs w:val="24"/>
          <w:lang w:val="pt-PT" w:eastAsia="ar-SA"/>
        </w:rPr>
        <w:t xml:space="preserve">, </w:t>
      </w:r>
      <w:r>
        <w:rPr>
          <w:rFonts w:ascii="Cambria" w:hAnsi="Cambria"/>
          <w:spacing w:val="-4"/>
          <w:sz w:val="24"/>
          <w:szCs w:val="24"/>
        </w:rPr>
        <w:t xml:space="preserve">neste ato representado(a) pelo(a) Sr(a). </w:t>
      </w:r>
      <w:r>
        <w:rPr>
          <w:rFonts w:ascii="Cambria" w:hAnsi="Cambria"/>
          <w:sz w:val="24"/>
          <w:szCs w:val="24"/>
        </w:rPr>
        <w:t>_______________</w:t>
      </w:r>
      <w:r>
        <w:rPr>
          <w:rFonts w:ascii="Cambria" w:hAnsi="Cambria"/>
          <w:spacing w:val="-4"/>
          <w:sz w:val="24"/>
          <w:szCs w:val="24"/>
        </w:rPr>
        <w:t xml:space="preserve">, C.P.F. N° </w:t>
      </w:r>
      <w:r>
        <w:rPr>
          <w:rFonts w:ascii="Cambria" w:hAnsi="Cambria"/>
          <w:sz w:val="24"/>
          <w:szCs w:val="24"/>
        </w:rPr>
        <w:t>_______________</w:t>
      </w:r>
      <w:r>
        <w:rPr>
          <w:rFonts w:ascii="Cambria" w:hAnsi="Cambria"/>
          <w:spacing w:val="-4"/>
          <w:sz w:val="24"/>
          <w:szCs w:val="24"/>
        </w:rPr>
        <w:t xml:space="preserve">, aqui denominado(a) de </w:t>
      </w:r>
      <w:r>
        <w:rPr>
          <w:rFonts w:ascii="Cambria" w:hAnsi="Cambria"/>
          <w:b/>
          <w:spacing w:val="-4"/>
          <w:sz w:val="24"/>
          <w:szCs w:val="24"/>
        </w:rPr>
        <w:t>CONTRATANTE</w:t>
      </w:r>
      <w:r>
        <w:rPr>
          <w:rFonts w:ascii="Cambria" w:hAnsi="Cambria"/>
          <w:spacing w:val="-4"/>
          <w:sz w:val="24"/>
          <w:szCs w:val="24"/>
        </w:rPr>
        <w:t xml:space="preserve">, e de </w:t>
      </w:r>
      <w:r>
        <w:rPr>
          <w:rFonts w:ascii="Cambria" w:hAnsi="Cambria"/>
          <w:sz w:val="24"/>
          <w:szCs w:val="24"/>
          <w:lang w:eastAsia="ar-SA"/>
        </w:rPr>
        <w:t xml:space="preserve">outro lado a Empresa </w:t>
      </w:r>
      <w:r>
        <w:rPr>
          <w:rFonts w:ascii="Cambria" w:hAnsi="Cambria"/>
          <w:sz w:val="24"/>
          <w:szCs w:val="24"/>
        </w:rPr>
        <w:t>______________________</w:t>
      </w:r>
      <w:r>
        <w:rPr>
          <w:rFonts w:ascii="Cambria" w:hAnsi="Cambria"/>
          <w:sz w:val="24"/>
          <w:szCs w:val="24"/>
          <w:lang w:eastAsia="ar-SA"/>
        </w:rPr>
        <w:t xml:space="preserve">, estabelecida na </w:t>
      </w:r>
      <w:r>
        <w:rPr>
          <w:rFonts w:ascii="Cambria" w:hAnsi="Cambria"/>
          <w:sz w:val="24"/>
          <w:szCs w:val="24"/>
        </w:rPr>
        <w:t>_________________</w:t>
      </w:r>
      <w:r>
        <w:rPr>
          <w:rFonts w:ascii="Cambria" w:hAnsi="Cambria"/>
          <w:sz w:val="24"/>
          <w:szCs w:val="24"/>
          <w:lang w:eastAsia="ar-SA"/>
        </w:rPr>
        <w:t xml:space="preserve">, inscrita no CNPJ/MF sob o n.º </w:t>
      </w:r>
      <w:r>
        <w:rPr>
          <w:rFonts w:ascii="Cambria" w:hAnsi="Cambria"/>
          <w:sz w:val="24"/>
          <w:szCs w:val="24"/>
        </w:rPr>
        <w:t>_________________________</w:t>
      </w:r>
      <w:r>
        <w:rPr>
          <w:rFonts w:ascii="Cambria" w:hAnsi="Cambria"/>
          <w:sz w:val="24"/>
          <w:szCs w:val="24"/>
          <w:lang w:eastAsia="ar-SA"/>
        </w:rPr>
        <w:t>, neste ato representada pelo (a) Sr(a).</w:t>
      </w:r>
      <w:r>
        <w:rPr>
          <w:rFonts w:ascii="Cambria" w:hAnsi="Cambria"/>
          <w:sz w:val="24"/>
          <w:szCs w:val="24"/>
        </w:rPr>
        <w:t xml:space="preserve"> ______________________</w:t>
      </w:r>
      <w:r>
        <w:rPr>
          <w:rFonts w:ascii="Cambria" w:hAnsi="Cambria"/>
          <w:spacing w:val="-4"/>
          <w:sz w:val="24"/>
          <w:szCs w:val="24"/>
        </w:rPr>
        <w:t xml:space="preserve">, portador (a) do CPF nº </w:t>
      </w:r>
      <w:r>
        <w:rPr>
          <w:rFonts w:ascii="Cambria" w:hAnsi="Cambria"/>
          <w:sz w:val="24"/>
          <w:szCs w:val="24"/>
        </w:rPr>
        <w:t>_____________</w:t>
      </w:r>
      <w:r>
        <w:rPr>
          <w:rFonts w:ascii="Cambria" w:hAnsi="Cambria"/>
          <w:spacing w:val="-4"/>
          <w:sz w:val="24"/>
          <w:szCs w:val="24"/>
        </w:rPr>
        <w:t xml:space="preserve">, apenas denominada de </w:t>
      </w:r>
      <w:r>
        <w:rPr>
          <w:rFonts w:ascii="Cambria" w:hAnsi="Cambria"/>
          <w:b/>
          <w:spacing w:val="-4"/>
          <w:sz w:val="24"/>
          <w:szCs w:val="24"/>
        </w:rPr>
        <w:t>CONTRATADA</w:t>
      </w:r>
      <w:r>
        <w:rPr>
          <w:rFonts w:ascii="Cambria" w:hAnsi="Cambria"/>
          <w:spacing w:val="-4"/>
          <w:sz w:val="24"/>
          <w:szCs w:val="24"/>
        </w:rPr>
        <w:t>, firmam entre si o presente TERMO DE CONTRATO mediante as cláusulas e condições a seguir estabelecidas:</w:t>
      </w:r>
    </w:p>
    <w:p>
      <w:pPr>
        <w:jc w:val="both"/>
        <w:rPr>
          <w:rFonts w:ascii="Cambria" w:hAnsi="Cambria"/>
          <w:b/>
          <w:sz w:val="24"/>
          <w:szCs w:val="24"/>
        </w:rPr>
      </w:pPr>
    </w:p>
    <w:p>
      <w:pPr>
        <w:jc w:val="both"/>
        <w:rPr>
          <w:rFonts w:ascii="Cambria" w:hAnsi="Cambria"/>
          <w:b/>
          <w:sz w:val="24"/>
          <w:szCs w:val="24"/>
        </w:rPr>
      </w:pPr>
      <w:r>
        <w:rPr>
          <w:rFonts w:ascii="Cambria" w:hAnsi="Cambria"/>
          <w:b/>
          <w:sz w:val="24"/>
          <w:szCs w:val="24"/>
        </w:rPr>
        <w:t>CLÁUSULA PRIMEIRA - DO FUNDAMENTO LEGAL</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Cambria" w:hAnsi="Cambria"/>
          <w:sz w:val="24"/>
          <w:szCs w:val="24"/>
        </w:rPr>
      </w:pPr>
      <w:r>
        <w:rPr>
          <w:rFonts w:ascii="Cambria" w:hAnsi="Cambria"/>
          <w:b/>
          <w:sz w:val="24"/>
          <w:szCs w:val="24"/>
        </w:rPr>
        <w:t>1.1.</w:t>
      </w:r>
      <w:r>
        <w:rPr>
          <w:rFonts w:ascii="Cambria" w:hAnsi="Cambria"/>
          <w:sz w:val="24"/>
          <w:szCs w:val="24"/>
        </w:rPr>
        <w:t xml:space="preserve"> Processo de Licitação, na modalidade Pregão Eletrônico tombado sob o nº </w:t>
      </w:r>
      <w:r>
        <w:rPr>
          <w:rFonts w:ascii="Cambria" w:hAnsi="Cambria"/>
          <w:b/>
          <w:bCs/>
          <w:sz w:val="24"/>
          <w:szCs w:val="24"/>
        </w:rPr>
        <w:t xml:space="preserve">____.__.__.__ </w:t>
      </w:r>
      <w:r>
        <w:rPr>
          <w:rFonts w:ascii="Cambria" w:hAnsi="Cambria"/>
          <w:sz w:val="24"/>
          <w:szCs w:val="24"/>
        </w:rPr>
        <w:t>em conformidade com a Lei Federal Nº 14.133/2021 de 1º de abril de 2021 - Lei das Licitações Públicas.</w:t>
      </w:r>
    </w:p>
    <w:p>
      <w:pPr>
        <w:jc w:val="both"/>
        <w:rPr>
          <w:rFonts w:ascii="Cambria" w:hAnsi="Cambria"/>
          <w:sz w:val="24"/>
          <w:szCs w:val="24"/>
        </w:rPr>
      </w:pPr>
    </w:p>
    <w:p>
      <w:pPr>
        <w:jc w:val="both"/>
        <w:rPr>
          <w:rFonts w:ascii="Cambria" w:hAnsi="Cambria"/>
          <w:b/>
          <w:sz w:val="24"/>
          <w:szCs w:val="24"/>
        </w:rPr>
      </w:pPr>
      <w:r>
        <w:rPr>
          <w:rFonts w:ascii="Cambria" w:hAnsi="Cambria"/>
          <w:b/>
          <w:sz w:val="24"/>
          <w:szCs w:val="24"/>
        </w:rPr>
        <w:t>CLÁUSULA SEGUNDA - DO OBJETO</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hd w:val="clear" w:color="auto" w:fill="FFFFFF"/>
        <w:tabs>
          <w:tab w:val="left" w:pos="284"/>
        </w:tabs>
        <w:spacing w:after="200"/>
        <w:jc w:val="both"/>
        <w:rPr>
          <w:rFonts w:ascii="Cambria" w:hAnsi="Cambria"/>
          <w:sz w:val="24"/>
          <w:szCs w:val="24"/>
        </w:rPr>
      </w:pPr>
      <w:r>
        <w:rPr>
          <w:rFonts w:ascii="Cambria" w:hAnsi="Cambria"/>
          <w:b/>
          <w:sz w:val="24"/>
          <w:szCs w:val="24"/>
        </w:rPr>
        <w:t>2.1.</w:t>
      </w:r>
      <w:r>
        <w:rPr>
          <w:rFonts w:ascii="Cambria" w:hAnsi="Cambria"/>
          <w:sz w:val="24"/>
          <w:szCs w:val="24"/>
        </w:rPr>
        <w:t xml:space="preserve"> Constitui objeto do presente o </w:t>
      </w:r>
      <w:r>
        <w:rPr>
          <w:rFonts w:ascii="Cambria" w:hAnsi="Cambria"/>
          <w:b/>
          <w:sz w:val="24"/>
          <w:szCs w:val="24"/>
        </w:rPr>
        <w:t>&lt;OBJETO&gt;</w:t>
      </w:r>
      <w:r>
        <w:rPr>
          <w:rFonts w:ascii="Cambria" w:hAnsi="Cambria"/>
          <w:sz w:val="24"/>
          <w:szCs w:val="24"/>
        </w:rPr>
        <w:t>, tudo conforme especificações contidas no Projeto Básico/Termo de Referência, constante do ANEXO 01 do Edital.</w:t>
      </w:r>
    </w:p>
    <w:p>
      <w:pPr>
        <w:jc w:val="both"/>
        <w:rPr>
          <w:rFonts w:ascii="Cambria" w:hAnsi="Cambria"/>
          <w:b/>
          <w:sz w:val="24"/>
          <w:szCs w:val="24"/>
        </w:rPr>
      </w:pPr>
      <w:r>
        <w:rPr>
          <w:rFonts w:ascii="Cambria" w:hAnsi="Cambria"/>
          <w:b/>
          <w:sz w:val="24"/>
          <w:szCs w:val="24"/>
        </w:rPr>
        <w:t>CLÁUSULA TERCEIRA - DO VALOR, DO REAJUSTE E DO REEQUILÍBRIO ECONÔMICO-FINANCEIRO</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Cambria" w:hAnsi="Cambria"/>
          <w:sz w:val="24"/>
          <w:szCs w:val="24"/>
        </w:rPr>
      </w:pPr>
      <w:r>
        <w:rPr>
          <w:rFonts w:ascii="Cambria" w:hAnsi="Cambria"/>
          <w:b/>
          <w:sz w:val="24"/>
          <w:szCs w:val="24"/>
        </w:rPr>
        <w:t>3.1.</w:t>
      </w:r>
      <w:r>
        <w:rPr>
          <w:rFonts w:ascii="Cambria" w:hAnsi="Cambria"/>
          <w:sz w:val="24"/>
          <w:szCs w:val="24"/>
        </w:rPr>
        <w:t xml:space="preserve"> O valor global da presente avença é de R$ ____ (___), onde o valor mensal será de R$ ____ (___), a ser pago na proporção da execução dos serviços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jc w:val="both"/>
        <w:rPr>
          <w:rFonts w:ascii="Cambria" w:hAnsi="Cambria"/>
          <w:sz w:val="24"/>
          <w:szCs w:val="24"/>
        </w:rPr>
      </w:pPr>
      <w:r>
        <w:rPr>
          <w:rFonts w:ascii="Cambria" w:hAnsi="Cambria"/>
          <w:b/>
          <w:sz w:val="24"/>
          <w:szCs w:val="24"/>
        </w:rPr>
        <w:t>3.2.</w:t>
      </w:r>
      <w:r>
        <w:rPr>
          <w:rFonts w:ascii="Cambria" w:hAnsi="Cambria"/>
          <w:sz w:val="24"/>
          <w:szCs w:val="24"/>
        </w:rPr>
        <w:t xml:space="preserve"> O valor do presente Contrato não será objeto de reajuste, antes de decorridos 12 (doze) meses da contratação, hipótese na qual poderá ser utilizado o índice IGP-M da Fundação Getúlio Vargas.</w:t>
      </w:r>
    </w:p>
    <w:p>
      <w:pPr>
        <w:jc w:val="both"/>
        <w:rPr>
          <w:rFonts w:ascii="Cambria" w:hAnsi="Cambria"/>
          <w:sz w:val="24"/>
          <w:szCs w:val="24"/>
        </w:rPr>
      </w:pPr>
      <w:r>
        <w:rPr>
          <w:rFonts w:ascii="Cambria" w:hAnsi="Cambria"/>
          <w:b/>
          <w:sz w:val="24"/>
          <w:szCs w:val="24"/>
        </w:rPr>
        <w:t>3.3.</w:t>
      </w:r>
      <w:r>
        <w:rPr>
          <w:rFonts w:ascii="Cambria" w:hAnsi="Cambria"/>
          <w:sz w:val="24"/>
          <w:szCs w:val="24"/>
        </w:rPr>
        <w:t xml:space="preserve"> O pagamento será efetuado em até 30 (trinta) dias, após adimplemento da obrigação e encaminhamento da documentação tratada no subitem 3.1, observadas as disposições </w:t>
      </w:r>
      <w:r>
        <w:rPr>
          <w:rFonts w:ascii="Cambria" w:hAnsi="Cambria"/>
          <w:sz w:val="24"/>
          <w:szCs w:val="24"/>
        </w:rPr>
        <w:lastRenderedPageBreak/>
        <w:t>editalícias, através de crédito na Conta Bancária do fornecedor ou através de cheque nominal.</w:t>
      </w:r>
    </w:p>
    <w:p>
      <w:pPr>
        <w:jc w:val="both"/>
        <w:rPr>
          <w:rFonts w:ascii="Cambria" w:hAnsi="Cambria"/>
          <w:sz w:val="24"/>
          <w:szCs w:val="24"/>
        </w:rPr>
      </w:pPr>
      <w:r>
        <w:rPr>
          <w:rFonts w:ascii="Cambria" w:hAnsi="Cambria"/>
          <w:b/>
          <w:sz w:val="24"/>
          <w:szCs w:val="24"/>
        </w:rPr>
        <w:t>3.4.</w:t>
      </w:r>
      <w:r>
        <w:rPr>
          <w:rFonts w:ascii="Cambria" w:hAnsi="Cambria"/>
          <w:sz w:val="24"/>
          <w:szCs w:val="24"/>
        </w:rPr>
        <w:t xml:space="preserve"> Por ocasião da execução dos serviços, o contratado deverá apresentar recibo em 02 (duas) vias e a respectiva Nota Fiscal. A Fatura e Nota Fiscal deverá ser emitida em nome da Secretaria de *****, com endereço na ************************** CNPJ/MF sob o nº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0"/>
        <w:gridCol w:w="3214"/>
        <w:gridCol w:w="1134"/>
        <w:gridCol w:w="993"/>
        <w:gridCol w:w="1134"/>
        <w:gridCol w:w="1701"/>
      </w:tblGrid>
      <w:tr>
        <w:trPr>
          <w:trHeight w:val="988"/>
          <w:tblHeader/>
        </w:trPr>
        <w:tc>
          <w:tcPr>
            <w:tcW w:w="750" w:type="dxa"/>
            <w:shd w:val="clear" w:color="auto" w:fill="D9D9D9" w:themeFill="background1" w:themeFillShade="D9"/>
            <w:vAlign w:val="center"/>
            <w:hideMark/>
          </w:tcPr>
          <w:p>
            <w:pPr>
              <w:jc w:val="center"/>
              <w:rPr>
                <w:rFonts w:ascii="Cambria" w:hAnsi="Cambria"/>
                <w:b/>
                <w:bCs/>
                <w:sz w:val="24"/>
                <w:szCs w:val="24"/>
              </w:rPr>
            </w:pPr>
            <w:r>
              <w:rPr>
                <w:rFonts w:ascii="Cambria" w:hAnsi="Cambria"/>
                <w:b/>
                <w:bCs/>
                <w:sz w:val="24"/>
                <w:szCs w:val="24"/>
              </w:rPr>
              <w:t>ITEM</w:t>
            </w:r>
          </w:p>
        </w:tc>
        <w:tc>
          <w:tcPr>
            <w:tcW w:w="3214" w:type="dxa"/>
            <w:shd w:val="clear" w:color="auto" w:fill="D9D9D9" w:themeFill="background1" w:themeFillShade="D9"/>
            <w:vAlign w:val="center"/>
            <w:hideMark/>
          </w:tcPr>
          <w:p>
            <w:pPr>
              <w:jc w:val="center"/>
              <w:rPr>
                <w:rFonts w:ascii="Cambria" w:hAnsi="Cambria"/>
                <w:b/>
                <w:bCs/>
                <w:sz w:val="24"/>
                <w:szCs w:val="24"/>
              </w:rPr>
            </w:pPr>
            <w:r>
              <w:rPr>
                <w:rFonts w:ascii="Cambria" w:hAnsi="Cambria"/>
                <w:b/>
                <w:bCs/>
                <w:sz w:val="24"/>
                <w:szCs w:val="24"/>
              </w:rPr>
              <w:t>DESCRIÇÃO</w:t>
            </w:r>
          </w:p>
        </w:tc>
        <w:tc>
          <w:tcPr>
            <w:tcW w:w="1134" w:type="dxa"/>
            <w:shd w:val="clear" w:color="auto" w:fill="D9D9D9" w:themeFill="background1" w:themeFillShade="D9"/>
            <w:vAlign w:val="center"/>
          </w:tcPr>
          <w:p>
            <w:pPr>
              <w:jc w:val="center"/>
              <w:rPr>
                <w:rFonts w:ascii="Cambria" w:hAnsi="Cambria"/>
                <w:b/>
                <w:bCs/>
                <w:sz w:val="24"/>
                <w:szCs w:val="24"/>
              </w:rPr>
            </w:pPr>
            <w:r>
              <w:rPr>
                <w:rFonts w:ascii="Cambria" w:hAnsi="Cambria"/>
                <w:b/>
                <w:bCs/>
                <w:sz w:val="24"/>
                <w:szCs w:val="24"/>
              </w:rPr>
              <w:t>UNID</w:t>
            </w:r>
          </w:p>
        </w:tc>
        <w:tc>
          <w:tcPr>
            <w:tcW w:w="993" w:type="dxa"/>
            <w:shd w:val="clear" w:color="auto" w:fill="D9D9D9" w:themeFill="background1" w:themeFillShade="D9"/>
            <w:vAlign w:val="center"/>
            <w:hideMark/>
          </w:tcPr>
          <w:p>
            <w:pPr>
              <w:jc w:val="center"/>
              <w:rPr>
                <w:rFonts w:ascii="Cambria" w:hAnsi="Cambria"/>
                <w:b/>
                <w:bCs/>
                <w:sz w:val="24"/>
                <w:szCs w:val="24"/>
              </w:rPr>
            </w:pPr>
            <w:r>
              <w:rPr>
                <w:rFonts w:ascii="Cambria" w:hAnsi="Cambria"/>
                <w:b/>
                <w:bCs/>
                <w:sz w:val="24"/>
                <w:szCs w:val="24"/>
              </w:rPr>
              <w:t>QUANT</w:t>
            </w:r>
          </w:p>
        </w:tc>
        <w:tc>
          <w:tcPr>
            <w:tcW w:w="1134" w:type="dxa"/>
            <w:shd w:val="clear" w:color="auto" w:fill="D9D9D9" w:themeFill="background1" w:themeFillShade="D9"/>
            <w:vAlign w:val="center"/>
          </w:tcPr>
          <w:p>
            <w:pPr>
              <w:jc w:val="center"/>
              <w:rPr>
                <w:rFonts w:ascii="Cambria" w:hAnsi="Cambria"/>
                <w:b/>
                <w:bCs/>
                <w:sz w:val="24"/>
                <w:szCs w:val="24"/>
              </w:rPr>
            </w:pPr>
            <w:r>
              <w:rPr>
                <w:rFonts w:ascii="Cambria" w:hAnsi="Cambria"/>
                <w:b/>
                <w:bCs/>
                <w:sz w:val="24"/>
                <w:szCs w:val="24"/>
              </w:rPr>
              <w:t>VALOR UNIT</w:t>
            </w:r>
          </w:p>
        </w:tc>
        <w:tc>
          <w:tcPr>
            <w:tcW w:w="1701" w:type="dxa"/>
            <w:shd w:val="clear" w:color="auto" w:fill="D9D9D9" w:themeFill="background1" w:themeFillShade="D9"/>
            <w:vAlign w:val="center"/>
          </w:tcPr>
          <w:p>
            <w:pPr>
              <w:jc w:val="center"/>
              <w:rPr>
                <w:rFonts w:ascii="Cambria" w:hAnsi="Cambria"/>
                <w:b/>
                <w:bCs/>
                <w:sz w:val="24"/>
                <w:szCs w:val="24"/>
              </w:rPr>
            </w:pPr>
            <w:r>
              <w:rPr>
                <w:rFonts w:ascii="Cambria" w:hAnsi="Cambria"/>
                <w:b/>
                <w:bCs/>
                <w:sz w:val="24"/>
                <w:szCs w:val="24"/>
              </w:rPr>
              <w:t>VALOR TOTAL</w:t>
            </w:r>
          </w:p>
        </w:tc>
      </w:tr>
      <w:tr>
        <w:trPr>
          <w:trHeight w:val="23"/>
          <w:tblHeader/>
        </w:trPr>
        <w:tc>
          <w:tcPr>
            <w:tcW w:w="750" w:type="dxa"/>
            <w:noWrap/>
            <w:vAlign w:val="center"/>
            <w:hideMark/>
          </w:tcPr>
          <w:p>
            <w:pPr>
              <w:jc w:val="center"/>
              <w:rPr>
                <w:rFonts w:ascii="Cambria" w:hAnsi="Cambria"/>
                <w:sz w:val="24"/>
                <w:szCs w:val="24"/>
              </w:rPr>
            </w:pPr>
            <w:r>
              <w:rPr>
                <w:rFonts w:ascii="Cambria" w:hAnsi="Cambria"/>
                <w:sz w:val="24"/>
                <w:szCs w:val="24"/>
              </w:rPr>
              <w:t>1</w:t>
            </w:r>
          </w:p>
        </w:tc>
        <w:tc>
          <w:tcPr>
            <w:tcW w:w="3214" w:type="dxa"/>
            <w:vAlign w:val="bottom"/>
          </w:tcPr>
          <w:p>
            <w:pPr>
              <w:jc w:val="both"/>
              <w:rPr>
                <w:rFonts w:ascii="Cambria" w:hAnsi="Cambria"/>
                <w:sz w:val="24"/>
                <w:szCs w:val="24"/>
              </w:rPr>
            </w:pPr>
          </w:p>
        </w:tc>
        <w:tc>
          <w:tcPr>
            <w:tcW w:w="1134" w:type="dxa"/>
            <w:vAlign w:val="center"/>
          </w:tcPr>
          <w:p>
            <w:pPr>
              <w:jc w:val="center"/>
              <w:rPr>
                <w:rFonts w:ascii="Cambria" w:hAnsi="Cambria"/>
                <w:sz w:val="24"/>
                <w:szCs w:val="24"/>
              </w:rPr>
            </w:pPr>
          </w:p>
        </w:tc>
        <w:tc>
          <w:tcPr>
            <w:tcW w:w="993" w:type="dxa"/>
            <w:noWrap/>
            <w:vAlign w:val="center"/>
          </w:tcPr>
          <w:p>
            <w:pPr>
              <w:jc w:val="center"/>
              <w:rPr>
                <w:rFonts w:ascii="Cambria" w:hAnsi="Cambria"/>
                <w:sz w:val="24"/>
                <w:szCs w:val="24"/>
              </w:rPr>
            </w:pPr>
          </w:p>
        </w:tc>
        <w:tc>
          <w:tcPr>
            <w:tcW w:w="1134" w:type="dxa"/>
            <w:vAlign w:val="center"/>
          </w:tcPr>
          <w:p>
            <w:pPr>
              <w:jc w:val="center"/>
              <w:rPr>
                <w:rFonts w:ascii="Cambria" w:hAnsi="Cambria"/>
                <w:sz w:val="24"/>
                <w:szCs w:val="24"/>
              </w:rPr>
            </w:pPr>
          </w:p>
        </w:tc>
        <w:tc>
          <w:tcPr>
            <w:tcW w:w="1701" w:type="dxa"/>
            <w:vAlign w:val="center"/>
          </w:tcPr>
          <w:p>
            <w:pPr>
              <w:jc w:val="center"/>
              <w:rPr>
                <w:rFonts w:ascii="Cambria" w:hAnsi="Cambria"/>
                <w:sz w:val="24"/>
                <w:szCs w:val="24"/>
              </w:rPr>
            </w:pPr>
          </w:p>
        </w:tc>
      </w:tr>
      <w:tr>
        <w:trPr>
          <w:trHeight w:val="23"/>
          <w:tblHeader/>
        </w:trPr>
        <w:tc>
          <w:tcPr>
            <w:tcW w:w="750" w:type="dxa"/>
            <w:noWrap/>
            <w:vAlign w:val="center"/>
            <w:hideMark/>
          </w:tcPr>
          <w:p>
            <w:pPr>
              <w:jc w:val="center"/>
              <w:rPr>
                <w:rFonts w:ascii="Cambria" w:hAnsi="Cambria"/>
                <w:sz w:val="24"/>
                <w:szCs w:val="24"/>
              </w:rPr>
            </w:pPr>
            <w:r>
              <w:rPr>
                <w:rFonts w:ascii="Cambria" w:hAnsi="Cambria"/>
                <w:sz w:val="24"/>
                <w:szCs w:val="24"/>
              </w:rPr>
              <w:t>2</w:t>
            </w:r>
          </w:p>
        </w:tc>
        <w:tc>
          <w:tcPr>
            <w:tcW w:w="3214" w:type="dxa"/>
            <w:vAlign w:val="bottom"/>
          </w:tcPr>
          <w:p>
            <w:pPr>
              <w:jc w:val="both"/>
              <w:rPr>
                <w:rFonts w:ascii="Cambria" w:hAnsi="Cambria"/>
                <w:sz w:val="24"/>
                <w:szCs w:val="24"/>
              </w:rPr>
            </w:pPr>
          </w:p>
        </w:tc>
        <w:tc>
          <w:tcPr>
            <w:tcW w:w="1134" w:type="dxa"/>
            <w:vAlign w:val="center"/>
          </w:tcPr>
          <w:p>
            <w:pPr>
              <w:jc w:val="center"/>
              <w:rPr>
                <w:rFonts w:ascii="Cambria" w:hAnsi="Cambria"/>
                <w:sz w:val="24"/>
                <w:szCs w:val="24"/>
              </w:rPr>
            </w:pPr>
          </w:p>
        </w:tc>
        <w:tc>
          <w:tcPr>
            <w:tcW w:w="993" w:type="dxa"/>
            <w:noWrap/>
            <w:vAlign w:val="center"/>
          </w:tcPr>
          <w:p>
            <w:pPr>
              <w:jc w:val="center"/>
              <w:rPr>
                <w:rFonts w:ascii="Cambria" w:hAnsi="Cambria"/>
                <w:sz w:val="24"/>
                <w:szCs w:val="24"/>
              </w:rPr>
            </w:pPr>
          </w:p>
        </w:tc>
        <w:tc>
          <w:tcPr>
            <w:tcW w:w="1134" w:type="dxa"/>
            <w:vAlign w:val="center"/>
          </w:tcPr>
          <w:p>
            <w:pPr>
              <w:jc w:val="center"/>
              <w:rPr>
                <w:rFonts w:ascii="Cambria" w:hAnsi="Cambria"/>
                <w:sz w:val="24"/>
                <w:szCs w:val="24"/>
              </w:rPr>
            </w:pPr>
          </w:p>
        </w:tc>
        <w:tc>
          <w:tcPr>
            <w:tcW w:w="1701" w:type="dxa"/>
            <w:vAlign w:val="center"/>
          </w:tcPr>
          <w:p>
            <w:pPr>
              <w:jc w:val="center"/>
              <w:rPr>
                <w:rFonts w:ascii="Cambria" w:hAnsi="Cambria"/>
                <w:sz w:val="24"/>
                <w:szCs w:val="24"/>
              </w:rPr>
            </w:pPr>
          </w:p>
        </w:tc>
      </w:tr>
      <w:tr>
        <w:trPr>
          <w:trHeight w:val="23"/>
          <w:tblHeader/>
        </w:trPr>
        <w:tc>
          <w:tcPr>
            <w:tcW w:w="750" w:type="dxa"/>
            <w:noWrap/>
            <w:vAlign w:val="center"/>
          </w:tcPr>
          <w:p>
            <w:pPr>
              <w:jc w:val="center"/>
              <w:rPr>
                <w:rFonts w:ascii="Cambria" w:hAnsi="Cambria"/>
                <w:sz w:val="24"/>
                <w:szCs w:val="24"/>
              </w:rPr>
            </w:pPr>
            <w:r>
              <w:rPr>
                <w:rFonts w:ascii="Cambria" w:hAnsi="Cambria"/>
                <w:sz w:val="24"/>
                <w:szCs w:val="24"/>
              </w:rPr>
              <w:t>3</w:t>
            </w:r>
          </w:p>
        </w:tc>
        <w:tc>
          <w:tcPr>
            <w:tcW w:w="3214" w:type="dxa"/>
            <w:vAlign w:val="bottom"/>
          </w:tcPr>
          <w:p>
            <w:pPr>
              <w:jc w:val="both"/>
              <w:rPr>
                <w:rFonts w:ascii="Cambria" w:hAnsi="Cambria"/>
                <w:sz w:val="24"/>
                <w:szCs w:val="24"/>
              </w:rPr>
            </w:pPr>
          </w:p>
        </w:tc>
        <w:tc>
          <w:tcPr>
            <w:tcW w:w="1134" w:type="dxa"/>
            <w:vAlign w:val="center"/>
          </w:tcPr>
          <w:p>
            <w:pPr>
              <w:jc w:val="center"/>
              <w:rPr>
                <w:rFonts w:ascii="Cambria" w:hAnsi="Cambria"/>
                <w:sz w:val="24"/>
                <w:szCs w:val="24"/>
              </w:rPr>
            </w:pPr>
          </w:p>
        </w:tc>
        <w:tc>
          <w:tcPr>
            <w:tcW w:w="993" w:type="dxa"/>
            <w:noWrap/>
            <w:vAlign w:val="center"/>
          </w:tcPr>
          <w:p>
            <w:pPr>
              <w:jc w:val="center"/>
              <w:rPr>
                <w:rFonts w:ascii="Cambria" w:hAnsi="Cambria"/>
                <w:sz w:val="24"/>
                <w:szCs w:val="24"/>
              </w:rPr>
            </w:pPr>
          </w:p>
        </w:tc>
        <w:tc>
          <w:tcPr>
            <w:tcW w:w="1134" w:type="dxa"/>
            <w:vAlign w:val="center"/>
          </w:tcPr>
          <w:p>
            <w:pPr>
              <w:jc w:val="center"/>
              <w:rPr>
                <w:rFonts w:ascii="Cambria" w:hAnsi="Cambria"/>
                <w:sz w:val="24"/>
                <w:szCs w:val="24"/>
              </w:rPr>
            </w:pPr>
          </w:p>
        </w:tc>
        <w:tc>
          <w:tcPr>
            <w:tcW w:w="1701" w:type="dxa"/>
            <w:vAlign w:val="center"/>
          </w:tcPr>
          <w:p>
            <w:pPr>
              <w:jc w:val="center"/>
              <w:rPr>
                <w:rFonts w:ascii="Cambria" w:hAnsi="Cambria"/>
                <w:sz w:val="24"/>
                <w:szCs w:val="24"/>
              </w:rPr>
            </w:pPr>
          </w:p>
        </w:tc>
      </w:tr>
      <w:tr>
        <w:trPr>
          <w:trHeight w:val="23"/>
          <w:tblHeader/>
        </w:trPr>
        <w:tc>
          <w:tcPr>
            <w:tcW w:w="750" w:type="dxa"/>
            <w:noWrap/>
            <w:vAlign w:val="center"/>
          </w:tcPr>
          <w:p>
            <w:pPr>
              <w:jc w:val="center"/>
              <w:rPr>
                <w:rFonts w:ascii="Cambria" w:hAnsi="Cambria"/>
                <w:sz w:val="24"/>
                <w:szCs w:val="24"/>
              </w:rPr>
            </w:pPr>
            <w:r>
              <w:rPr>
                <w:rFonts w:ascii="Cambria" w:hAnsi="Cambria"/>
                <w:sz w:val="24"/>
                <w:szCs w:val="24"/>
              </w:rPr>
              <w:t>4</w:t>
            </w:r>
          </w:p>
        </w:tc>
        <w:tc>
          <w:tcPr>
            <w:tcW w:w="3214" w:type="dxa"/>
            <w:vAlign w:val="bottom"/>
          </w:tcPr>
          <w:p>
            <w:pPr>
              <w:jc w:val="both"/>
              <w:rPr>
                <w:rFonts w:ascii="Cambria" w:hAnsi="Cambria"/>
                <w:sz w:val="24"/>
                <w:szCs w:val="24"/>
              </w:rPr>
            </w:pPr>
          </w:p>
        </w:tc>
        <w:tc>
          <w:tcPr>
            <w:tcW w:w="1134" w:type="dxa"/>
            <w:vAlign w:val="center"/>
          </w:tcPr>
          <w:p>
            <w:pPr>
              <w:jc w:val="center"/>
              <w:rPr>
                <w:rFonts w:ascii="Cambria" w:hAnsi="Cambria"/>
                <w:sz w:val="24"/>
                <w:szCs w:val="24"/>
              </w:rPr>
            </w:pPr>
          </w:p>
        </w:tc>
        <w:tc>
          <w:tcPr>
            <w:tcW w:w="993" w:type="dxa"/>
            <w:noWrap/>
            <w:vAlign w:val="center"/>
          </w:tcPr>
          <w:p>
            <w:pPr>
              <w:jc w:val="center"/>
              <w:rPr>
                <w:rFonts w:ascii="Cambria" w:hAnsi="Cambria"/>
                <w:sz w:val="24"/>
                <w:szCs w:val="24"/>
              </w:rPr>
            </w:pPr>
          </w:p>
        </w:tc>
        <w:tc>
          <w:tcPr>
            <w:tcW w:w="1134" w:type="dxa"/>
            <w:vAlign w:val="center"/>
          </w:tcPr>
          <w:p>
            <w:pPr>
              <w:jc w:val="center"/>
              <w:rPr>
                <w:rFonts w:ascii="Cambria" w:hAnsi="Cambria"/>
                <w:sz w:val="24"/>
                <w:szCs w:val="24"/>
              </w:rPr>
            </w:pPr>
          </w:p>
        </w:tc>
        <w:tc>
          <w:tcPr>
            <w:tcW w:w="1701" w:type="dxa"/>
            <w:vAlign w:val="center"/>
          </w:tcPr>
          <w:p>
            <w:pPr>
              <w:jc w:val="center"/>
              <w:rPr>
                <w:rFonts w:ascii="Cambria" w:hAnsi="Cambria"/>
                <w:sz w:val="24"/>
                <w:szCs w:val="24"/>
              </w:rPr>
            </w:pPr>
          </w:p>
        </w:tc>
      </w:tr>
      <w:tr>
        <w:trPr>
          <w:trHeight w:val="23"/>
          <w:tblHeader/>
        </w:trPr>
        <w:tc>
          <w:tcPr>
            <w:tcW w:w="750" w:type="dxa"/>
            <w:noWrap/>
            <w:vAlign w:val="center"/>
          </w:tcPr>
          <w:p>
            <w:pPr>
              <w:jc w:val="center"/>
              <w:rPr>
                <w:rFonts w:ascii="Cambria" w:hAnsi="Cambria"/>
                <w:sz w:val="24"/>
                <w:szCs w:val="24"/>
              </w:rPr>
            </w:pPr>
            <w:r>
              <w:rPr>
                <w:rFonts w:ascii="Cambria" w:hAnsi="Cambria"/>
                <w:sz w:val="24"/>
                <w:szCs w:val="24"/>
              </w:rPr>
              <w:t>5</w:t>
            </w:r>
          </w:p>
        </w:tc>
        <w:tc>
          <w:tcPr>
            <w:tcW w:w="3214" w:type="dxa"/>
            <w:vAlign w:val="bottom"/>
          </w:tcPr>
          <w:p>
            <w:pPr>
              <w:jc w:val="both"/>
              <w:rPr>
                <w:rFonts w:ascii="Cambria" w:hAnsi="Cambria"/>
                <w:sz w:val="24"/>
                <w:szCs w:val="24"/>
              </w:rPr>
            </w:pPr>
          </w:p>
        </w:tc>
        <w:tc>
          <w:tcPr>
            <w:tcW w:w="1134" w:type="dxa"/>
            <w:vAlign w:val="center"/>
          </w:tcPr>
          <w:p>
            <w:pPr>
              <w:jc w:val="center"/>
              <w:rPr>
                <w:rFonts w:ascii="Cambria" w:hAnsi="Cambria"/>
                <w:sz w:val="24"/>
                <w:szCs w:val="24"/>
              </w:rPr>
            </w:pPr>
          </w:p>
        </w:tc>
        <w:tc>
          <w:tcPr>
            <w:tcW w:w="993" w:type="dxa"/>
            <w:noWrap/>
            <w:vAlign w:val="center"/>
          </w:tcPr>
          <w:p>
            <w:pPr>
              <w:jc w:val="center"/>
              <w:rPr>
                <w:rFonts w:ascii="Cambria" w:hAnsi="Cambria"/>
                <w:sz w:val="24"/>
                <w:szCs w:val="24"/>
              </w:rPr>
            </w:pPr>
          </w:p>
        </w:tc>
        <w:tc>
          <w:tcPr>
            <w:tcW w:w="1134" w:type="dxa"/>
            <w:vAlign w:val="center"/>
          </w:tcPr>
          <w:p>
            <w:pPr>
              <w:jc w:val="center"/>
              <w:rPr>
                <w:rFonts w:ascii="Cambria" w:hAnsi="Cambria"/>
                <w:sz w:val="24"/>
                <w:szCs w:val="24"/>
              </w:rPr>
            </w:pPr>
          </w:p>
        </w:tc>
        <w:tc>
          <w:tcPr>
            <w:tcW w:w="1701" w:type="dxa"/>
            <w:vAlign w:val="center"/>
          </w:tcPr>
          <w:p>
            <w:pPr>
              <w:jc w:val="center"/>
              <w:rPr>
                <w:rFonts w:ascii="Cambria" w:hAnsi="Cambria"/>
                <w:sz w:val="24"/>
                <w:szCs w:val="24"/>
              </w:rPr>
            </w:pPr>
          </w:p>
        </w:tc>
      </w:tr>
    </w:tbl>
    <w:p>
      <w:pPr>
        <w:jc w:val="both"/>
        <w:rPr>
          <w:rFonts w:ascii="Cambria" w:hAnsi="Cambria"/>
          <w:b/>
          <w:sz w:val="24"/>
          <w:szCs w:val="24"/>
        </w:rPr>
      </w:pPr>
    </w:p>
    <w:p>
      <w:pPr>
        <w:jc w:val="both"/>
        <w:rPr>
          <w:rFonts w:ascii="Cambria" w:hAnsi="Cambria"/>
          <w:b/>
          <w:sz w:val="24"/>
          <w:szCs w:val="24"/>
        </w:rPr>
      </w:pPr>
      <w:r>
        <w:rPr>
          <w:rFonts w:ascii="Cambria" w:hAnsi="Cambria"/>
          <w:b/>
          <w:sz w:val="24"/>
          <w:szCs w:val="24"/>
        </w:rPr>
        <w:t>CLÁUSULA QUARTA – DO PRAZO DE VIGÊNCIA</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Cambria" w:hAnsi="Cambria"/>
          <w:sz w:val="24"/>
          <w:szCs w:val="24"/>
        </w:rPr>
      </w:pPr>
      <w:r>
        <w:rPr>
          <w:rFonts w:ascii="Cambria" w:hAnsi="Cambria"/>
          <w:b/>
          <w:sz w:val="24"/>
          <w:szCs w:val="24"/>
        </w:rPr>
        <w:t>4.1.</w:t>
      </w:r>
      <w:r>
        <w:rPr>
          <w:rFonts w:ascii="Cambria" w:hAnsi="Cambria"/>
          <w:sz w:val="24"/>
          <w:szCs w:val="24"/>
        </w:rPr>
        <w:t xml:space="preserve"> O presente Instrumento produzirá seus jurídicos e legais efeitos a partir da data de sua assinatura e vigerá por 12 (doze) meses, podendo ter a sua duração prorrogada na forma da lei 14.133/2021 de 1º de abril de 2021.</w:t>
      </w:r>
    </w:p>
    <w:p>
      <w:pPr>
        <w:jc w:val="both"/>
        <w:rPr>
          <w:rFonts w:ascii="Cambria" w:hAnsi="Cambria"/>
          <w:sz w:val="24"/>
          <w:szCs w:val="24"/>
        </w:rPr>
      </w:pPr>
    </w:p>
    <w:p>
      <w:pPr>
        <w:jc w:val="both"/>
        <w:rPr>
          <w:rFonts w:ascii="Cambria" w:hAnsi="Cambria"/>
          <w:b/>
          <w:sz w:val="24"/>
          <w:szCs w:val="24"/>
        </w:rPr>
      </w:pPr>
      <w:r>
        <w:rPr>
          <w:rFonts w:ascii="Cambria" w:hAnsi="Cambria"/>
          <w:b/>
          <w:sz w:val="24"/>
          <w:szCs w:val="24"/>
        </w:rPr>
        <w:t>CLÁUSULA QUINTA - DA ORIGEM DOS RECURSOS</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jc w:val="both"/>
        <w:rPr>
          <w:rFonts w:ascii="Cambria" w:hAnsi="Cambria"/>
          <w:sz w:val="24"/>
          <w:szCs w:val="24"/>
        </w:rPr>
      </w:pPr>
      <w:r>
        <w:rPr>
          <w:rFonts w:ascii="Cambria" w:hAnsi="Cambria"/>
          <w:b/>
          <w:sz w:val="24"/>
          <w:szCs w:val="24"/>
        </w:rPr>
        <w:t>5.1.</w:t>
      </w:r>
      <w:r>
        <w:rPr>
          <w:rFonts w:ascii="Cambria" w:hAnsi="Cambria"/>
          <w:sz w:val="24"/>
          <w:szCs w:val="24"/>
        </w:rPr>
        <w:t xml:space="preserve"> As despesas decorrentes desta contratação correrão à conta de recursos específicos consignados no respectivo Orçamento Municipal, inerentes a ____________: </w:t>
      </w:r>
    </w:p>
    <w:p>
      <w:pPr>
        <w:suppressAutoHyphens/>
        <w:jc w:val="both"/>
        <w:rPr>
          <w:rFonts w:ascii="Cambria" w:hAnsi="Cambria"/>
          <w:b/>
          <w:bCs/>
          <w:sz w:val="24"/>
          <w:szCs w:val="24"/>
          <w:lang w:eastAsia="pt-BR"/>
        </w:rPr>
      </w:pPr>
    </w:p>
    <w:p>
      <w:pPr>
        <w:jc w:val="both"/>
        <w:rPr>
          <w:rFonts w:ascii="Cambria" w:hAnsi="Cambria"/>
          <w:b/>
          <w:sz w:val="24"/>
          <w:szCs w:val="24"/>
        </w:rPr>
      </w:pPr>
      <w:r>
        <w:rPr>
          <w:rFonts w:ascii="Cambria" w:hAnsi="Cambria"/>
          <w:b/>
          <w:sz w:val="24"/>
          <w:szCs w:val="24"/>
        </w:rPr>
        <w:t>CLÁUSULA SEXTA - DA OBRIGAÇÃO DAS PARTES</w:t>
      </w:r>
    </w:p>
    <w:p>
      <w:pPr>
        <w:rPr>
          <w:rFonts w:ascii="Cambria" w:hAnsi="Cambria"/>
          <w:sz w:val="24"/>
          <w:szCs w:val="24"/>
        </w:rPr>
      </w:pPr>
      <w:r>
        <w:rPr>
          <w:rFonts w:ascii="Cambria" w:hAnsi="Cambria"/>
          <w:noProof/>
          <w:sz w:val="24"/>
          <w:szCs w:val="24"/>
          <w:lang w:eastAsia="pt-BR"/>
        </w:rPr>
        <w:drawing>
          <wp:inline distT="0" distB="0" distL="0" distR="0">
            <wp:extent cx="6448425" cy="85725"/>
            <wp:effectExtent l="0" t="0" r="9525" b="9525"/>
            <wp:docPr id="55622899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Cambria" w:hAnsi="Cambria"/>
          <w:sz w:val="24"/>
          <w:szCs w:val="24"/>
        </w:rPr>
      </w:pPr>
      <w:r>
        <w:rPr>
          <w:rFonts w:ascii="Cambria" w:hAnsi="Cambria"/>
          <w:b/>
          <w:sz w:val="24"/>
          <w:szCs w:val="24"/>
        </w:rPr>
        <w:t>6.1</w:t>
      </w:r>
      <w:r>
        <w:rPr>
          <w:rFonts w:ascii="Cambria" w:hAnsi="Cambria"/>
          <w:sz w:val="24"/>
          <w:szCs w:val="24"/>
        </w:rPr>
        <w:t>. As partes se obrigam reciprocamente a cumprir integralmente as disposições do instrumento convocatório, da Lei Federal nº 14.133/2021 de 1º de abril de 2021, alterada e consolidada e da Lei Federal n.º 14.133/21e da proposta adjudicada.</w:t>
      </w:r>
    </w:p>
    <w:p>
      <w:pPr>
        <w:jc w:val="both"/>
        <w:rPr>
          <w:rFonts w:ascii="Cambria" w:hAnsi="Cambria"/>
          <w:sz w:val="24"/>
          <w:szCs w:val="24"/>
        </w:rPr>
      </w:pPr>
      <w:r>
        <w:rPr>
          <w:rFonts w:ascii="Cambria" w:hAnsi="Cambria"/>
          <w:b/>
          <w:sz w:val="24"/>
          <w:szCs w:val="24"/>
        </w:rPr>
        <w:t>6.2.</w:t>
      </w:r>
      <w:r>
        <w:rPr>
          <w:rFonts w:ascii="Cambria" w:hAnsi="Cambria"/>
          <w:sz w:val="24"/>
          <w:szCs w:val="24"/>
        </w:rPr>
        <w:t xml:space="preserve"> O CONTRATADO obriga-se a:</w:t>
      </w:r>
    </w:p>
    <w:p>
      <w:pPr>
        <w:jc w:val="both"/>
        <w:rPr>
          <w:rFonts w:ascii="Cambria" w:hAnsi="Cambria"/>
          <w:sz w:val="24"/>
          <w:szCs w:val="24"/>
        </w:rPr>
      </w:pPr>
      <w:r>
        <w:rPr>
          <w:rFonts w:ascii="Cambria" w:hAnsi="Cambria"/>
          <w:b/>
          <w:sz w:val="24"/>
          <w:szCs w:val="24"/>
        </w:rPr>
        <w:t>a)</w:t>
      </w:r>
      <w:r>
        <w:rPr>
          <w:rFonts w:ascii="Cambria" w:hAnsi="Cambria"/>
          <w:sz w:val="24"/>
          <w:szCs w:val="24"/>
        </w:rPr>
        <w:t xml:space="preserve"> executar o fornecimento dos serviços contratados dentro dos padrões estabelecidos pelo MUNICÍPIO, de acordo com o especificado no instrumento convocatório e no ANEXO 01, que fazem parte deste instrumento, observando, ainda, todas as normas técnicas que eventualmente regulem o fornecimento, responsabilizando-se por eventuais prejuízos decorrentes do descumprimento de qualquer cláusula ou condição aqui estabelecida;</w:t>
      </w:r>
    </w:p>
    <w:p>
      <w:pPr>
        <w:jc w:val="both"/>
        <w:rPr>
          <w:rFonts w:ascii="Cambria" w:hAnsi="Cambria"/>
          <w:sz w:val="24"/>
          <w:szCs w:val="24"/>
          <w:lang w:val="pt-PT"/>
        </w:rPr>
      </w:pPr>
      <w:r>
        <w:rPr>
          <w:rFonts w:ascii="Cambria" w:hAnsi="Cambria"/>
          <w:b/>
          <w:sz w:val="24"/>
          <w:szCs w:val="24"/>
          <w:lang w:val="pt-PT"/>
        </w:rPr>
        <w:t xml:space="preserve">b) </w:t>
      </w:r>
      <w:r>
        <w:rPr>
          <w:rFonts w:ascii="Cambria" w:hAnsi="Cambria"/>
          <w:sz w:val="24"/>
          <w:szCs w:val="24"/>
          <w:lang w:val="pt-PT"/>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jc w:val="both"/>
        <w:rPr>
          <w:rFonts w:ascii="Cambria" w:hAnsi="Cambria"/>
          <w:sz w:val="24"/>
          <w:szCs w:val="24"/>
          <w:lang w:val="pt-PT"/>
        </w:rPr>
      </w:pPr>
      <w:r>
        <w:rPr>
          <w:rFonts w:ascii="Cambria" w:hAnsi="Cambria"/>
          <w:b/>
          <w:sz w:val="24"/>
          <w:szCs w:val="24"/>
          <w:lang w:val="pt-PT"/>
        </w:rPr>
        <w:t>c)</w:t>
      </w:r>
      <w:r>
        <w:rPr>
          <w:rFonts w:ascii="Cambria" w:hAnsi="Cambria"/>
          <w:sz w:val="24"/>
          <w:szCs w:val="24"/>
          <w:lang w:val="pt-PT"/>
        </w:rPr>
        <w:t xml:space="preserve"> a reparar, corrigir, remover ou substituir, às suas expensas, no total ou em parte, os serviços em que se verificarem vícios, defeitos ou incorreções;</w:t>
      </w:r>
    </w:p>
    <w:p>
      <w:pPr>
        <w:jc w:val="both"/>
        <w:rPr>
          <w:rFonts w:ascii="Cambria" w:hAnsi="Cambria"/>
          <w:sz w:val="24"/>
          <w:szCs w:val="24"/>
          <w:lang w:val="pt-PT"/>
        </w:rPr>
      </w:pPr>
      <w:r>
        <w:rPr>
          <w:rFonts w:ascii="Cambria" w:hAnsi="Cambria"/>
          <w:b/>
          <w:sz w:val="24"/>
          <w:szCs w:val="24"/>
          <w:lang w:val="pt-PT"/>
        </w:rPr>
        <w:lastRenderedPageBreak/>
        <w:t>d)</w:t>
      </w:r>
      <w:r>
        <w:rPr>
          <w:rFonts w:ascii="Cambria" w:hAnsi="Cambria"/>
          <w:sz w:val="24"/>
          <w:szCs w:val="24"/>
          <w:lang w:val="pt-PT"/>
        </w:rPr>
        <w:t xml:space="preserve"> responsabilizar-se pelos danos causados diretamente ao MUNICÍPIO ou a terceiros, decorrentes de sua culpa ou dolo na execução do fornecimento, não excluindo ou reduzindo essa responsabilidade a fiscalização ou o acompanhamento pelo órgão interessado;</w:t>
      </w:r>
    </w:p>
    <w:p>
      <w:pPr>
        <w:jc w:val="both"/>
        <w:rPr>
          <w:rFonts w:ascii="Cambria" w:hAnsi="Cambria"/>
          <w:sz w:val="24"/>
          <w:szCs w:val="24"/>
          <w:lang w:val="pt-PT"/>
        </w:rPr>
      </w:pPr>
      <w:r>
        <w:rPr>
          <w:rFonts w:ascii="Cambria" w:hAnsi="Cambria"/>
          <w:b/>
          <w:sz w:val="24"/>
          <w:szCs w:val="24"/>
          <w:lang w:val="pt-PT"/>
        </w:rPr>
        <w:t>e)</w:t>
      </w:r>
      <w:r>
        <w:rPr>
          <w:rFonts w:ascii="Cambria" w:hAnsi="Cambria"/>
          <w:sz w:val="24"/>
          <w:szCs w:val="24"/>
          <w:lang w:val="pt-PT"/>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jc w:val="both"/>
        <w:rPr>
          <w:rFonts w:ascii="Cambria" w:hAnsi="Cambria"/>
          <w:sz w:val="24"/>
          <w:szCs w:val="24"/>
          <w:lang w:val="pt-PT"/>
        </w:rPr>
      </w:pPr>
      <w:r>
        <w:rPr>
          <w:rFonts w:ascii="Cambria" w:hAnsi="Cambria"/>
          <w:b/>
          <w:sz w:val="24"/>
          <w:szCs w:val="24"/>
          <w:lang w:val="pt-PT"/>
        </w:rPr>
        <w:t xml:space="preserve">f) </w:t>
      </w:r>
      <w:r>
        <w:rPr>
          <w:rFonts w:ascii="Cambria" w:hAnsi="Cambria"/>
          <w:sz w:val="24"/>
          <w:szCs w:val="24"/>
          <w:lang w:val="pt-PT"/>
        </w:rPr>
        <w:t>aceitar, nas mesmas condições, os acréscimos ou supressões que se fizerem no fornecimento, até 25% (vinte e cinco por cento) do valor inicial atualizado do contrato, na forma do art. 125 da Lei nº 14.133/2021 de 1º de abril de 2021;</w:t>
      </w:r>
    </w:p>
    <w:p>
      <w:pPr>
        <w:jc w:val="both"/>
        <w:rPr>
          <w:rFonts w:ascii="Cambria" w:hAnsi="Cambria"/>
          <w:sz w:val="24"/>
          <w:szCs w:val="24"/>
        </w:rPr>
      </w:pPr>
      <w:r>
        <w:rPr>
          <w:rFonts w:ascii="Cambria" w:hAnsi="Cambria"/>
          <w:b/>
          <w:sz w:val="24"/>
          <w:szCs w:val="24"/>
          <w:lang w:val="pt-PT"/>
        </w:rPr>
        <w:t>g)</w:t>
      </w:r>
      <w:r>
        <w:rPr>
          <w:rFonts w:ascii="Cambria" w:hAnsi="Cambria"/>
          <w:sz w:val="24"/>
          <w:szCs w:val="24"/>
        </w:rPr>
        <w:t>entregar os serviços de forma a não comprometer o funcionamento dos serviços  do MUNICÍPIO;</w:t>
      </w:r>
    </w:p>
    <w:p>
      <w:pPr>
        <w:jc w:val="both"/>
        <w:rPr>
          <w:rFonts w:ascii="Cambria" w:hAnsi="Cambria"/>
          <w:sz w:val="24"/>
          <w:szCs w:val="24"/>
        </w:rPr>
      </w:pPr>
      <w:r>
        <w:rPr>
          <w:rFonts w:ascii="Cambria" w:hAnsi="Cambria"/>
          <w:b/>
          <w:sz w:val="24"/>
          <w:szCs w:val="24"/>
        </w:rPr>
        <w:t>h)</w:t>
      </w:r>
      <w:r>
        <w:rPr>
          <w:rFonts w:ascii="Cambria" w:hAnsi="Cambria"/>
          <w:sz w:val="24"/>
          <w:szCs w:val="24"/>
        </w:rPr>
        <w:t xml:space="preserve"> comunicar antecipadamente a data e horário da entrega, não sendo aceitos os serviços que estiverem em desacordo com as especificações constantes deste instrumento, nem quaisquer pleitos de faturamentos extraordinários sob o pretexto de perfeito funcionamento e conclusão do objeto contratado.</w:t>
      </w:r>
    </w:p>
    <w:p>
      <w:pPr>
        <w:jc w:val="both"/>
        <w:rPr>
          <w:rFonts w:ascii="Cambria" w:hAnsi="Cambria"/>
          <w:sz w:val="24"/>
          <w:szCs w:val="24"/>
        </w:rPr>
      </w:pPr>
      <w:r>
        <w:rPr>
          <w:rFonts w:ascii="Cambria" w:hAnsi="Cambria"/>
          <w:b/>
          <w:sz w:val="24"/>
          <w:szCs w:val="24"/>
        </w:rPr>
        <w:t>i)</w:t>
      </w:r>
      <w:r>
        <w:rPr>
          <w:rFonts w:ascii="Cambria" w:hAnsi="Cambria"/>
          <w:sz w:val="24"/>
          <w:szCs w:val="24"/>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jc w:val="both"/>
        <w:rPr>
          <w:rFonts w:ascii="Cambria" w:hAnsi="Cambria"/>
          <w:sz w:val="24"/>
          <w:szCs w:val="24"/>
        </w:rPr>
      </w:pPr>
      <w:r>
        <w:rPr>
          <w:rFonts w:ascii="Cambria" w:hAnsi="Cambria"/>
          <w:b/>
          <w:sz w:val="24"/>
          <w:szCs w:val="24"/>
        </w:rPr>
        <w:t>j)</w:t>
      </w:r>
      <w:r>
        <w:rPr>
          <w:rFonts w:ascii="Cambria" w:hAnsi="Cambria"/>
          <w:sz w:val="24"/>
          <w:szCs w:val="24"/>
        </w:rPr>
        <w:t xml:space="preserve"> dispor-se a toda e qualquer fiscalização do MUNICÍPIO, no tocante ao fornecimento dos produtos, assim como ao cumprimento das obrigações previstas;</w:t>
      </w:r>
    </w:p>
    <w:p>
      <w:pPr>
        <w:jc w:val="both"/>
        <w:rPr>
          <w:rFonts w:ascii="Cambria" w:hAnsi="Cambria"/>
          <w:sz w:val="24"/>
          <w:szCs w:val="24"/>
        </w:rPr>
      </w:pPr>
      <w:r>
        <w:rPr>
          <w:rFonts w:ascii="Cambria" w:hAnsi="Cambria"/>
          <w:b/>
          <w:sz w:val="24"/>
          <w:szCs w:val="24"/>
        </w:rPr>
        <w:t>k)</w:t>
      </w:r>
      <w:r>
        <w:rPr>
          <w:rFonts w:ascii="Cambria" w:hAnsi="Cambria"/>
          <w:sz w:val="24"/>
          <w:szCs w:val="24"/>
        </w:rPr>
        <w:t xml:space="preserve"> prover todos os meios necessários à garantia da plena operacionalidade do fornecimento, inclusive considerados os casos de greve ou paralisação de qualquer natureza;</w:t>
      </w:r>
    </w:p>
    <w:p>
      <w:pPr>
        <w:jc w:val="both"/>
        <w:rPr>
          <w:rFonts w:ascii="Cambria" w:hAnsi="Cambria"/>
          <w:sz w:val="24"/>
          <w:szCs w:val="24"/>
        </w:rPr>
      </w:pPr>
      <w:r>
        <w:rPr>
          <w:rFonts w:ascii="Cambria" w:hAnsi="Cambria"/>
          <w:b/>
          <w:sz w:val="24"/>
          <w:szCs w:val="24"/>
        </w:rPr>
        <w:t>l)</w:t>
      </w:r>
      <w:r>
        <w:rPr>
          <w:rFonts w:ascii="Cambria" w:hAnsi="Cambria"/>
          <w:sz w:val="24"/>
          <w:szCs w:val="24"/>
        </w:rPr>
        <w:t xml:space="preserve"> comunicar imediatamente ao MUNICÍPIO qualquer alteração ocorrida no endereço, conta bancária e outros considerados necessários para recebimento de correspondência;</w:t>
      </w:r>
    </w:p>
    <w:p>
      <w:pPr>
        <w:jc w:val="both"/>
        <w:rPr>
          <w:rFonts w:ascii="Cambria" w:hAnsi="Cambria"/>
          <w:sz w:val="24"/>
          <w:szCs w:val="24"/>
        </w:rPr>
      </w:pPr>
      <w:r>
        <w:rPr>
          <w:rFonts w:ascii="Cambria" w:hAnsi="Cambria"/>
          <w:b/>
          <w:sz w:val="24"/>
          <w:szCs w:val="24"/>
        </w:rPr>
        <w:t>m)</w:t>
      </w:r>
      <w:r>
        <w:rPr>
          <w:rFonts w:ascii="Cambria" w:hAnsi="Cambria"/>
          <w:sz w:val="24"/>
          <w:szCs w:val="24"/>
        </w:rPr>
        <w:t xml:space="preserve"> possibilitar ao MUNICÍPIO efetuar vistoria nas suas instalações, a fim de verificar as condições para atendimento do objeto contratual;</w:t>
      </w:r>
    </w:p>
    <w:p>
      <w:pPr>
        <w:jc w:val="both"/>
        <w:rPr>
          <w:rFonts w:ascii="Cambria" w:hAnsi="Cambria"/>
          <w:sz w:val="24"/>
          <w:szCs w:val="24"/>
        </w:rPr>
      </w:pPr>
      <w:r>
        <w:rPr>
          <w:rFonts w:ascii="Cambria" w:hAnsi="Cambria"/>
          <w:b/>
          <w:sz w:val="24"/>
          <w:szCs w:val="24"/>
        </w:rPr>
        <w:t>n)</w:t>
      </w:r>
      <w:r>
        <w:rPr>
          <w:rFonts w:ascii="Cambria" w:hAnsi="Cambria"/>
          <w:sz w:val="24"/>
          <w:szCs w:val="24"/>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jc w:val="both"/>
        <w:rPr>
          <w:rFonts w:ascii="Cambria" w:hAnsi="Cambria"/>
          <w:sz w:val="24"/>
          <w:szCs w:val="24"/>
        </w:rPr>
      </w:pPr>
      <w:r>
        <w:rPr>
          <w:rFonts w:ascii="Cambria" w:hAnsi="Cambria"/>
          <w:b/>
          <w:sz w:val="24"/>
          <w:szCs w:val="24"/>
        </w:rPr>
        <w:t>o)</w:t>
      </w:r>
      <w:r>
        <w:rPr>
          <w:rFonts w:ascii="Cambria" w:hAnsi="Cambria"/>
          <w:sz w:val="24"/>
          <w:szCs w:val="24"/>
        </w:rPr>
        <w:t xml:space="preserve"> manter seus empregados, quando nas dependências do MUNICÍPIO, devidamente identificados com crachá subscrito pela CONTRATADA, no qual constará, no mínimo, sua razão social, nome completo do empregado e fotografia 3x4;</w:t>
      </w:r>
    </w:p>
    <w:p>
      <w:pPr>
        <w:jc w:val="both"/>
        <w:rPr>
          <w:rFonts w:ascii="Cambria" w:hAnsi="Cambria"/>
          <w:sz w:val="24"/>
          <w:szCs w:val="24"/>
        </w:rPr>
      </w:pPr>
      <w:r>
        <w:rPr>
          <w:rFonts w:ascii="Cambria" w:hAnsi="Cambria"/>
          <w:b/>
          <w:sz w:val="24"/>
          <w:szCs w:val="24"/>
        </w:rPr>
        <w:t>p)</w:t>
      </w:r>
      <w:r>
        <w:rPr>
          <w:rFonts w:ascii="Cambria" w:hAnsi="Cambria"/>
          <w:sz w:val="24"/>
          <w:szCs w:val="24"/>
        </w:rPr>
        <w:t xml:space="preserve"> Arcar com as despesas da entrega do produto no local indicado na autorização de fornecimento.</w:t>
      </w:r>
    </w:p>
    <w:p>
      <w:pPr>
        <w:jc w:val="both"/>
        <w:rPr>
          <w:rFonts w:ascii="Cambria" w:hAnsi="Cambria"/>
          <w:sz w:val="24"/>
          <w:szCs w:val="24"/>
        </w:rPr>
      </w:pPr>
      <w:r>
        <w:rPr>
          <w:rFonts w:ascii="Cambria" w:hAnsi="Cambria"/>
          <w:b/>
          <w:sz w:val="24"/>
          <w:szCs w:val="24"/>
        </w:rPr>
        <w:t>6.2.2.</w:t>
      </w:r>
      <w:r>
        <w:rPr>
          <w:rFonts w:ascii="Cambria" w:hAnsi="Cambria"/>
          <w:sz w:val="24"/>
          <w:szCs w:val="24"/>
        </w:rPr>
        <w:t xml:space="preserve"> No caso de constatação da inadequação dos serviços fornecidos às normas e exigências especificadas no Termo de Referência, no Edital ou na Proposta do Contratado, o Contratante os recusará, devendo no prazo máximo de 24 (vinte e quatro) horas ser adequados às supracitadas condições;</w:t>
      </w:r>
    </w:p>
    <w:p>
      <w:pPr>
        <w:jc w:val="both"/>
        <w:rPr>
          <w:rFonts w:ascii="Cambria" w:hAnsi="Cambria"/>
          <w:sz w:val="24"/>
          <w:szCs w:val="24"/>
        </w:rPr>
      </w:pPr>
    </w:p>
    <w:p>
      <w:pPr>
        <w:pStyle w:val="PargrafodaLista"/>
        <w:numPr>
          <w:ilvl w:val="1"/>
          <w:numId w:val="23"/>
        </w:numPr>
        <w:tabs>
          <w:tab w:val="left" w:pos="426"/>
        </w:tabs>
        <w:suppressAutoHyphens/>
        <w:spacing w:after="0" w:line="240" w:lineRule="auto"/>
        <w:ind w:left="0" w:firstLine="0"/>
        <w:jc w:val="both"/>
        <w:rPr>
          <w:rFonts w:ascii="Cambria" w:hAnsi="Cambria"/>
          <w:b/>
          <w:bCs/>
          <w:sz w:val="24"/>
          <w:szCs w:val="24"/>
        </w:rPr>
      </w:pPr>
      <w:r>
        <w:rPr>
          <w:rFonts w:ascii="Cambria" w:hAnsi="Cambria"/>
          <w:b/>
          <w:bCs/>
          <w:sz w:val="24"/>
          <w:szCs w:val="24"/>
        </w:rPr>
        <w:t>CONSIDERAÇÕES E ESPECIFICAÇÕES TÉCNICAS / DA EXECUÇÃO DOS SERVIÇOS E DEMAIS CONDIÇÕES:</w:t>
      </w:r>
    </w:p>
    <w:p>
      <w:pPr>
        <w:tabs>
          <w:tab w:val="left" w:pos="426"/>
        </w:tabs>
        <w:jc w:val="both"/>
        <w:rPr>
          <w:rFonts w:ascii="Cambria" w:hAnsi="Cambria"/>
          <w:b/>
          <w:bCs/>
        </w:rPr>
      </w:pPr>
    </w:p>
    <w:p>
      <w:pPr>
        <w:tabs>
          <w:tab w:val="left" w:pos="284"/>
          <w:tab w:val="left" w:pos="2525"/>
          <w:tab w:val="center" w:pos="4873"/>
        </w:tabs>
        <w:jc w:val="both"/>
        <w:rPr>
          <w:rFonts w:ascii="Cambria" w:hAnsi="Cambria"/>
          <w:b/>
          <w:sz w:val="24"/>
          <w:szCs w:val="24"/>
        </w:rPr>
      </w:pPr>
      <w:r>
        <w:rPr>
          <w:rFonts w:ascii="Cambria" w:hAnsi="Cambria"/>
          <w:b/>
          <w:sz w:val="24"/>
          <w:szCs w:val="24"/>
        </w:rPr>
        <w:lastRenderedPageBreak/>
        <w:t>6.3.1. SERÃO OBRIGAÇÕES DA CONTRATADA</w:t>
      </w:r>
    </w:p>
    <w:p>
      <w:pPr>
        <w:tabs>
          <w:tab w:val="left" w:pos="284"/>
          <w:tab w:val="left" w:pos="2525"/>
          <w:tab w:val="center" w:pos="4873"/>
        </w:tabs>
        <w:jc w:val="both"/>
        <w:rPr>
          <w:rFonts w:ascii="Cambria" w:hAnsi="Cambria"/>
          <w:b/>
          <w:sz w:val="24"/>
          <w:szCs w:val="24"/>
        </w:rPr>
      </w:pPr>
      <w:r>
        <w:rPr>
          <w:rFonts w:ascii="Cambria" w:hAnsi="Cambria"/>
          <w:b/>
          <w:sz w:val="24"/>
          <w:szCs w:val="24"/>
        </w:rPr>
        <w:t xml:space="preserve">6.3.1.1. RESPONSABILIDADE PELOS VEÍCULOS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rPr>
        <w:t>6.3.1.2.</w:t>
      </w:r>
      <w:r>
        <w:rPr>
          <w:rFonts w:ascii="Cambria" w:hAnsi="Cambria"/>
          <w:sz w:val="24"/>
          <w:szCs w:val="24"/>
        </w:rPr>
        <w:t xml:space="preserve"> </w:t>
      </w:r>
      <w:r>
        <w:rPr>
          <w:rFonts w:ascii="Cambria" w:hAnsi="Cambria"/>
          <w:sz w:val="24"/>
          <w:szCs w:val="24"/>
          <w:lang w:eastAsia="zh-CN"/>
        </w:rPr>
        <w:t xml:space="preserve">A Contratada deverá garantir que todos os veículos utilizados estejam em perfeito estado de conservação e funcionamento, conforme as especificações técnicas descritas no contrato, incluindo: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6.3.1.3</w:t>
      </w:r>
      <w:r>
        <w:rPr>
          <w:rFonts w:ascii="Cambria" w:hAnsi="Cambria"/>
          <w:sz w:val="24"/>
          <w:szCs w:val="24"/>
          <w:lang w:eastAsia="zh-CN"/>
        </w:rPr>
        <w:t xml:space="preserve"> Manutenção preventiva e corretiva regular.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6.3.1.4.</w:t>
      </w:r>
      <w:r>
        <w:rPr>
          <w:rFonts w:ascii="Cambria" w:hAnsi="Cambria"/>
          <w:sz w:val="24"/>
          <w:szCs w:val="24"/>
          <w:lang w:eastAsia="zh-CN"/>
        </w:rPr>
        <w:t xml:space="preserve"> Equipamentos de segurança, como cintos de segurança e extintores de incêndio, devidamente instalados e em funcionamento. </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6.4.1. CUMPRIMENTO DOS HORÁRIOS E ROTAS</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6.4.1.1 A CONTRATADA DEVERÁ: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6.4.1.2.</w:t>
      </w:r>
      <w:r>
        <w:rPr>
          <w:rFonts w:ascii="Cambria" w:hAnsi="Cambria"/>
          <w:sz w:val="24"/>
          <w:szCs w:val="24"/>
          <w:lang w:eastAsia="zh-CN"/>
        </w:rPr>
        <w:t xml:space="preserve"> Cumprir rigorosamente os horários e as rotas estabelecidas pela Secretaria.</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6.4.1.3.</w:t>
      </w:r>
      <w:r>
        <w:rPr>
          <w:rFonts w:ascii="Cambria" w:hAnsi="Cambria"/>
          <w:sz w:val="24"/>
          <w:szCs w:val="24"/>
          <w:lang w:eastAsia="zh-CN"/>
        </w:rPr>
        <w:t xml:space="preserve"> Ajustar as rotas conforme necessário, mediante orientação da Secretaria para garantir a segurança e a pontualidade do transporte.</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6.5.1. COMUNICAÇÃO E TRANSPARÊNCIA</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6.5.1.1. A CONTRATADA DEVE MANTER CANAIS DE COMUNICAÇÃO EFICAZES COM AS SECRETARIAS, INCLUINDO:</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6.5.1.2.</w:t>
      </w:r>
      <w:r>
        <w:rPr>
          <w:rFonts w:ascii="Cambria" w:hAnsi="Cambria"/>
          <w:sz w:val="24"/>
          <w:szCs w:val="24"/>
          <w:lang w:eastAsia="zh-CN"/>
        </w:rPr>
        <w:t xml:space="preserve"> Informar imediatamente qualquer alteração nas rotas, horários ou condições dos veículos. </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6.6.1 ATENDIMENTO ÀS NORMAS DE SEGURANÇA E LEGISLAÇÃO</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6.6.1.1. A CONTRATADA DEVE CUMPRIR TODAS AS NORMAS DE SEGURANÇA VIGENTES E A LEGISLAÇÃO APLICÁVEL AO TRANSPORTE, INCLUINDO: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6.6.1.2.</w:t>
      </w:r>
      <w:r>
        <w:rPr>
          <w:rFonts w:ascii="Cambria" w:hAnsi="Cambria"/>
          <w:sz w:val="24"/>
          <w:szCs w:val="24"/>
          <w:lang w:eastAsia="zh-CN"/>
        </w:rPr>
        <w:t xml:space="preserve"> Manter todos os veículos com documentação regularizada e em conformidade com as exigências legais.</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6.6.1.3.</w:t>
      </w:r>
      <w:r>
        <w:rPr>
          <w:rFonts w:ascii="Cambria" w:hAnsi="Cambria"/>
          <w:sz w:val="24"/>
          <w:szCs w:val="24"/>
          <w:lang w:eastAsia="zh-CN"/>
        </w:rPr>
        <w:t xml:space="preserve"> Garantir que os veículos estejam devidamente identificados conforme grafismos e logomarcas padrões do município de Miraíma/CE, a serem estabelecidos pela contratante.</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6.7.1. RESPONSABILIDADE POR DANOS E INCIDENTES</w:t>
      </w: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 xml:space="preserve">6.7.1.1. A CONTRATADA SERÁ RESPONSÁVEL POR QUAISQUER DANOS MATERIAIS OU PESSOAIS RESULTANTES DA OPERAÇÃO DOS SERVIÇOS DE TRANSPORTE, DEVENDO: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6.7.1.2.</w:t>
      </w:r>
      <w:r>
        <w:rPr>
          <w:rFonts w:ascii="Cambria" w:hAnsi="Cambria"/>
          <w:sz w:val="24"/>
          <w:szCs w:val="24"/>
          <w:lang w:eastAsia="zh-CN"/>
        </w:rPr>
        <w:t xml:space="preserve"> Adotar medidas imediatas para resolver quaisquer incidentes, garantindo a segurança e o bem-estar dos usuários.</w:t>
      </w:r>
    </w:p>
    <w:p>
      <w:pPr>
        <w:tabs>
          <w:tab w:val="left" w:pos="284"/>
          <w:tab w:val="left" w:pos="2525"/>
          <w:tab w:val="center" w:pos="4873"/>
        </w:tabs>
        <w:suppressAutoHyphens/>
        <w:jc w:val="both"/>
        <w:rPr>
          <w:rFonts w:ascii="Cambria" w:hAnsi="Cambria"/>
          <w:sz w:val="24"/>
          <w:szCs w:val="24"/>
          <w:lang w:eastAsia="zh-CN"/>
        </w:rPr>
      </w:pPr>
    </w:p>
    <w:p>
      <w:pPr>
        <w:tabs>
          <w:tab w:val="left" w:pos="284"/>
          <w:tab w:val="left" w:pos="2525"/>
          <w:tab w:val="center" w:pos="4873"/>
        </w:tabs>
        <w:suppressAutoHyphens/>
        <w:jc w:val="both"/>
        <w:rPr>
          <w:rFonts w:ascii="Cambria" w:hAnsi="Cambria"/>
          <w:b/>
          <w:sz w:val="24"/>
          <w:szCs w:val="24"/>
          <w:lang w:eastAsia="zh-CN"/>
        </w:rPr>
      </w:pPr>
      <w:r>
        <w:rPr>
          <w:rFonts w:ascii="Cambria" w:hAnsi="Cambria"/>
          <w:b/>
          <w:sz w:val="24"/>
          <w:szCs w:val="24"/>
          <w:lang w:eastAsia="zh-CN"/>
        </w:rPr>
        <w:t>6.8.1. SUBLOCAÇÃO E SUBCONTRATAÇÃO</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6.8.1.1.</w:t>
      </w:r>
      <w:r>
        <w:rPr>
          <w:rFonts w:ascii="Cambria" w:hAnsi="Cambria"/>
          <w:sz w:val="24"/>
          <w:szCs w:val="24"/>
          <w:lang w:eastAsia="zh-CN"/>
        </w:rPr>
        <w:t xml:space="preserve"> Fica vedada a sublocação e subcontratação dos serviços contratados, no todo ou em parte, sem a prévia autorização da Secretaria. </w:t>
      </w:r>
    </w:p>
    <w:p>
      <w:pPr>
        <w:tabs>
          <w:tab w:val="left" w:pos="284"/>
          <w:tab w:val="left" w:pos="2525"/>
          <w:tab w:val="center" w:pos="4873"/>
        </w:tabs>
        <w:suppressAutoHyphens/>
        <w:jc w:val="both"/>
        <w:rPr>
          <w:rFonts w:ascii="Cambria" w:hAnsi="Cambria"/>
          <w:sz w:val="24"/>
          <w:szCs w:val="24"/>
          <w:lang w:eastAsia="zh-CN"/>
        </w:rPr>
      </w:pPr>
      <w:r>
        <w:rPr>
          <w:rFonts w:ascii="Cambria" w:hAnsi="Cambria"/>
          <w:b/>
          <w:sz w:val="24"/>
          <w:szCs w:val="24"/>
          <w:lang w:eastAsia="zh-CN"/>
        </w:rPr>
        <w:t>6.8.1.2.</w:t>
      </w:r>
      <w:r>
        <w:rPr>
          <w:rFonts w:ascii="Cambria" w:hAnsi="Cambria"/>
          <w:sz w:val="24"/>
          <w:szCs w:val="24"/>
          <w:lang w:eastAsia="zh-CN"/>
        </w:rPr>
        <w:t xml:space="preserve"> A Contratada poderá solicitar autorização para sublocação ou subcontratação, mediante justificativa detalhada, à qual será avaliada e poderá ser aprovada ou não pela Secretaria.</w:t>
      </w:r>
    </w:p>
    <w:p>
      <w:pPr>
        <w:tabs>
          <w:tab w:val="left" w:pos="284"/>
          <w:tab w:val="left" w:pos="2525"/>
          <w:tab w:val="center" w:pos="4873"/>
        </w:tabs>
        <w:jc w:val="both"/>
        <w:rPr>
          <w:rFonts w:ascii="Cambria" w:hAnsi="Cambria"/>
        </w:rPr>
      </w:pPr>
    </w:p>
    <w:p>
      <w:pPr>
        <w:tabs>
          <w:tab w:val="left" w:pos="284"/>
          <w:tab w:val="left" w:pos="2525"/>
          <w:tab w:val="center" w:pos="4873"/>
        </w:tabs>
        <w:jc w:val="both"/>
        <w:rPr>
          <w:rFonts w:ascii="Cambria" w:hAnsi="Cambria"/>
          <w:b/>
          <w:sz w:val="24"/>
          <w:szCs w:val="24"/>
        </w:rPr>
      </w:pPr>
      <w:r>
        <w:rPr>
          <w:rFonts w:ascii="Cambria" w:hAnsi="Cambria"/>
          <w:b/>
          <w:sz w:val="24"/>
          <w:szCs w:val="24"/>
        </w:rPr>
        <w:t>6.9.1. PENALIDADES POR DESCUMPRIMENTO</w:t>
      </w:r>
    </w:p>
    <w:p>
      <w:pPr>
        <w:tabs>
          <w:tab w:val="left" w:pos="284"/>
          <w:tab w:val="left" w:pos="2525"/>
          <w:tab w:val="center" w:pos="4873"/>
        </w:tabs>
        <w:jc w:val="both"/>
        <w:rPr>
          <w:rFonts w:ascii="Cambria" w:hAnsi="Cambria"/>
          <w:b/>
          <w:sz w:val="24"/>
          <w:szCs w:val="24"/>
        </w:rPr>
      </w:pPr>
      <w:r>
        <w:rPr>
          <w:rFonts w:ascii="Cambria" w:hAnsi="Cambria"/>
          <w:b/>
          <w:sz w:val="24"/>
          <w:szCs w:val="24"/>
        </w:rPr>
        <w:lastRenderedPageBreak/>
        <w:t xml:space="preserve">6.9.1.1. O DESCUMPRIMENTO DE QUALQUER DAS OBRIGAÇÕES ESTIPULADAS NESTA CLÁUSULA SUJEITARÁ A CONTRATADA A PENALIDADES, QUE PODERÃO INCLUIR: </w:t>
      </w:r>
    </w:p>
    <w:p>
      <w:pPr>
        <w:tabs>
          <w:tab w:val="left" w:pos="284"/>
          <w:tab w:val="left" w:pos="8436"/>
        </w:tabs>
        <w:jc w:val="both"/>
        <w:rPr>
          <w:rFonts w:ascii="Cambria" w:hAnsi="Cambria"/>
          <w:sz w:val="24"/>
          <w:szCs w:val="24"/>
        </w:rPr>
      </w:pPr>
      <w:r>
        <w:rPr>
          <w:rFonts w:ascii="Cambria" w:hAnsi="Cambria"/>
          <w:sz w:val="24"/>
          <w:szCs w:val="24"/>
        </w:rPr>
        <w:t xml:space="preserve">a). Advertências formais. </w:t>
      </w:r>
      <w:r>
        <w:rPr>
          <w:rFonts w:ascii="Cambria" w:hAnsi="Cambria"/>
          <w:sz w:val="24"/>
          <w:szCs w:val="24"/>
        </w:rPr>
        <w:tab/>
      </w:r>
    </w:p>
    <w:p>
      <w:pPr>
        <w:tabs>
          <w:tab w:val="left" w:pos="284"/>
          <w:tab w:val="left" w:pos="2525"/>
          <w:tab w:val="center" w:pos="4873"/>
        </w:tabs>
        <w:jc w:val="both"/>
        <w:rPr>
          <w:rFonts w:ascii="Cambria" w:hAnsi="Cambria"/>
          <w:sz w:val="24"/>
          <w:szCs w:val="24"/>
        </w:rPr>
      </w:pPr>
      <w:r>
        <w:rPr>
          <w:rFonts w:ascii="Cambria" w:hAnsi="Cambria"/>
          <w:sz w:val="24"/>
          <w:szCs w:val="24"/>
        </w:rPr>
        <w:t xml:space="preserve">b). Multas contratuais. </w:t>
      </w:r>
    </w:p>
    <w:p>
      <w:pPr>
        <w:tabs>
          <w:tab w:val="left" w:pos="284"/>
          <w:tab w:val="left" w:pos="2525"/>
          <w:tab w:val="center" w:pos="4873"/>
        </w:tabs>
        <w:jc w:val="both"/>
        <w:rPr>
          <w:rFonts w:ascii="Cambria" w:hAnsi="Cambria"/>
          <w:sz w:val="24"/>
          <w:szCs w:val="24"/>
        </w:rPr>
      </w:pPr>
      <w:r>
        <w:rPr>
          <w:rFonts w:ascii="Cambria" w:hAnsi="Cambria"/>
          <w:sz w:val="24"/>
          <w:szCs w:val="24"/>
        </w:rPr>
        <w:t>c). Rescisão unilateral do contrato, com aplicação das penalidades cabíveis e reparação por danos causados.</w:t>
      </w:r>
    </w:p>
    <w:p>
      <w:pPr>
        <w:tabs>
          <w:tab w:val="left" w:pos="284"/>
          <w:tab w:val="left" w:pos="2525"/>
          <w:tab w:val="center" w:pos="4873"/>
        </w:tabs>
        <w:jc w:val="both"/>
        <w:rPr>
          <w:rFonts w:ascii="Cambria" w:hAnsi="Cambria"/>
        </w:rPr>
      </w:pPr>
    </w:p>
    <w:p>
      <w:pPr>
        <w:tabs>
          <w:tab w:val="left" w:pos="284"/>
          <w:tab w:val="left" w:pos="2525"/>
          <w:tab w:val="center" w:pos="4873"/>
        </w:tabs>
        <w:jc w:val="both"/>
        <w:rPr>
          <w:rFonts w:ascii="Cambria" w:hAnsi="Cambria"/>
        </w:rPr>
      </w:pPr>
      <w:r>
        <w:rPr>
          <w:rFonts w:ascii="Cambria" w:hAnsi="Cambria"/>
          <w:b/>
          <w:sz w:val="24"/>
          <w:szCs w:val="24"/>
        </w:rPr>
        <w:t>CLÁUSULA SÉTIMA - DAS SANÇÕES</w:t>
      </w:r>
    </w:p>
    <w:p>
      <w:pPr>
        <w:jc w:val="both"/>
        <w:rPr>
          <w:rFonts w:ascii="Cambria" w:hAnsi="Cambria"/>
          <w:sz w:val="24"/>
          <w:szCs w:val="24"/>
        </w:rPr>
      </w:pPr>
      <w:r>
        <w:rPr>
          <w:rFonts w:ascii="Cambria" w:hAnsi="Cambria"/>
          <w:b/>
          <w:sz w:val="24"/>
          <w:szCs w:val="24"/>
        </w:rPr>
        <w:t>7.1.</w:t>
      </w:r>
      <w:r>
        <w:rPr>
          <w:rFonts w:ascii="Cambria" w:hAnsi="Cambria"/>
          <w:sz w:val="24"/>
          <w:szCs w:val="24"/>
        </w:rPr>
        <w:t xml:space="preserve"> Comete infração administrativa, a Contratada que:</w:t>
      </w:r>
    </w:p>
    <w:p>
      <w:pPr>
        <w:jc w:val="both"/>
        <w:rPr>
          <w:rFonts w:ascii="Cambria" w:hAnsi="Cambria"/>
          <w:sz w:val="24"/>
          <w:szCs w:val="24"/>
        </w:rPr>
      </w:pPr>
      <w:r>
        <w:rPr>
          <w:rFonts w:ascii="Cambria" w:hAnsi="Cambria"/>
          <w:sz w:val="24"/>
          <w:szCs w:val="24"/>
        </w:rPr>
        <w:t>a) der causa à inexecução parcial do contrato;</w:t>
      </w:r>
    </w:p>
    <w:p>
      <w:pPr>
        <w:jc w:val="both"/>
        <w:rPr>
          <w:rFonts w:ascii="Cambria" w:hAnsi="Cambria"/>
          <w:sz w:val="24"/>
          <w:szCs w:val="24"/>
        </w:rPr>
      </w:pPr>
      <w:r>
        <w:rPr>
          <w:rFonts w:ascii="Cambria" w:hAnsi="Cambria"/>
          <w:sz w:val="24"/>
          <w:szCs w:val="24"/>
        </w:rPr>
        <w:t>b) der causa à inexecução parcial do contrato que cause grave dano à Administração ou ao funcionamento dos serviços públicos ou ao interesse coletivo;</w:t>
      </w:r>
    </w:p>
    <w:p>
      <w:pPr>
        <w:jc w:val="both"/>
        <w:rPr>
          <w:rFonts w:ascii="Cambria" w:hAnsi="Cambria"/>
          <w:sz w:val="24"/>
          <w:szCs w:val="24"/>
        </w:rPr>
      </w:pPr>
      <w:r>
        <w:rPr>
          <w:rFonts w:ascii="Cambria" w:hAnsi="Cambria"/>
          <w:sz w:val="24"/>
          <w:szCs w:val="24"/>
        </w:rPr>
        <w:t>c) der causa à inexecução total do contrato;</w:t>
      </w:r>
    </w:p>
    <w:p>
      <w:pPr>
        <w:jc w:val="both"/>
        <w:rPr>
          <w:rFonts w:ascii="Cambria" w:hAnsi="Cambria"/>
          <w:sz w:val="24"/>
          <w:szCs w:val="24"/>
        </w:rPr>
      </w:pPr>
      <w:r>
        <w:rPr>
          <w:rFonts w:ascii="Cambria" w:hAnsi="Cambria"/>
          <w:sz w:val="24"/>
          <w:szCs w:val="24"/>
        </w:rPr>
        <w:t>d) deixar de entregar a documentação exigida para o certame;</w:t>
      </w:r>
    </w:p>
    <w:p>
      <w:pPr>
        <w:jc w:val="both"/>
        <w:rPr>
          <w:rFonts w:ascii="Cambria" w:hAnsi="Cambria"/>
          <w:sz w:val="24"/>
          <w:szCs w:val="24"/>
        </w:rPr>
      </w:pPr>
      <w:r>
        <w:rPr>
          <w:rFonts w:ascii="Cambria" w:hAnsi="Cambria"/>
          <w:sz w:val="24"/>
          <w:szCs w:val="24"/>
        </w:rPr>
        <w:t>e) não manter a proposta, salvo em decorrência de fato superveniente devidamente justificado;</w:t>
      </w:r>
    </w:p>
    <w:p>
      <w:pPr>
        <w:jc w:val="both"/>
        <w:rPr>
          <w:rFonts w:ascii="Cambria" w:hAnsi="Cambria"/>
          <w:sz w:val="24"/>
          <w:szCs w:val="24"/>
        </w:rPr>
      </w:pPr>
      <w:r>
        <w:rPr>
          <w:rFonts w:ascii="Cambria" w:hAnsi="Cambria"/>
          <w:sz w:val="24"/>
          <w:szCs w:val="24"/>
        </w:rPr>
        <w:t>f) não celebrar o contrato ou não entregar a documentação exigida para a contratação, quando convocado dentro do prazo de validade de sua proposta;</w:t>
      </w:r>
    </w:p>
    <w:p>
      <w:pPr>
        <w:jc w:val="both"/>
        <w:rPr>
          <w:rFonts w:ascii="Cambria" w:hAnsi="Cambria"/>
          <w:sz w:val="24"/>
          <w:szCs w:val="24"/>
        </w:rPr>
      </w:pPr>
      <w:r>
        <w:rPr>
          <w:rFonts w:ascii="Cambria" w:hAnsi="Cambria"/>
          <w:sz w:val="24"/>
          <w:szCs w:val="24"/>
        </w:rPr>
        <w:t>g) ensejar o retardamento da execução ou da entrega do objeto da contratação sem motivo justificado;</w:t>
      </w:r>
    </w:p>
    <w:p>
      <w:pPr>
        <w:jc w:val="both"/>
        <w:rPr>
          <w:rFonts w:ascii="Cambria" w:hAnsi="Cambria"/>
          <w:sz w:val="24"/>
          <w:szCs w:val="24"/>
        </w:rPr>
      </w:pPr>
      <w:r>
        <w:rPr>
          <w:rFonts w:ascii="Cambria" w:hAnsi="Cambria"/>
          <w:sz w:val="24"/>
          <w:szCs w:val="24"/>
        </w:rPr>
        <w:t>h) apresentar declaração ou documentação falsa exigida para o certame ou prestar declaração falsa durante a dispensa eletrônica ou execução do contrato;</w:t>
      </w:r>
    </w:p>
    <w:p>
      <w:pPr>
        <w:jc w:val="both"/>
        <w:rPr>
          <w:rFonts w:ascii="Cambria" w:hAnsi="Cambria"/>
          <w:sz w:val="24"/>
          <w:szCs w:val="24"/>
        </w:rPr>
      </w:pPr>
      <w:r>
        <w:rPr>
          <w:rFonts w:ascii="Cambria" w:hAnsi="Cambria"/>
          <w:sz w:val="24"/>
          <w:szCs w:val="24"/>
        </w:rPr>
        <w:t>i) fraudar a contratação ou praticar ato fraudulento na execução do contrato;</w:t>
      </w:r>
    </w:p>
    <w:p>
      <w:pPr>
        <w:jc w:val="both"/>
        <w:rPr>
          <w:rFonts w:ascii="Cambria" w:hAnsi="Cambria"/>
          <w:sz w:val="24"/>
          <w:szCs w:val="24"/>
        </w:rPr>
      </w:pPr>
      <w:r>
        <w:rPr>
          <w:rFonts w:ascii="Cambria" w:hAnsi="Cambria"/>
          <w:sz w:val="24"/>
          <w:szCs w:val="24"/>
        </w:rPr>
        <w:t>j) comportar-se de modo inidôneo ou cometer fraude de qualquer natureza;</w:t>
      </w:r>
    </w:p>
    <w:p>
      <w:pPr>
        <w:jc w:val="both"/>
        <w:rPr>
          <w:rFonts w:ascii="Cambria" w:hAnsi="Cambria"/>
          <w:sz w:val="24"/>
          <w:szCs w:val="24"/>
        </w:rPr>
      </w:pPr>
      <w:r>
        <w:rPr>
          <w:rFonts w:ascii="Cambria" w:hAnsi="Cambria"/>
          <w:sz w:val="24"/>
          <w:szCs w:val="24"/>
        </w:rPr>
        <w:t>k) praticar atos ilícitos com vistas a frustrar os objetivos da contratação;</w:t>
      </w:r>
    </w:p>
    <w:p>
      <w:pPr>
        <w:jc w:val="both"/>
        <w:rPr>
          <w:rFonts w:ascii="Cambria" w:hAnsi="Cambria"/>
          <w:sz w:val="24"/>
          <w:szCs w:val="24"/>
        </w:rPr>
      </w:pPr>
      <w:r>
        <w:rPr>
          <w:rFonts w:ascii="Cambria" w:hAnsi="Cambria"/>
          <w:sz w:val="24"/>
          <w:szCs w:val="24"/>
        </w:rPr>
        <w:t>l) praticar ato lesivo previsto no art. 5º da Lei nº 12.846, de 1º de agosto de 2013.</w:t>
      </w:r>
    </w:p>
    <w:p>
      <w:pPr>
        <w:jc w:val="both"/>
        <w:rPr>
          <w:rFonts w:ascii="Cambria" w:hAnsi="Cambria"/>
          <w:sz w:val="24"/>
          <w:szCs w:val="24"/>
        </w:rPr>
      </w:pPr>
    </w:p>
    <w:p>
      <w:pPr>
        <w:jc w:val="both"/>
        <w:rPr>
          <w:rFonts w:ascii="Cambria" w:hAnsi="Cambria"/>
          <w:sz w:val="24"/>
          <w:szCs w:val="24"/>
        </w:rPr>
      </w:pPr>
      <w:r>
        <w:rPr>
          <w:rFonts w:ascii="Cambria" w:hAnsi="Cambria"/>
          <w:b/>
          <w:bCs/>
          <w:sz w:val="24"/>
          <w:szCs w:val="24"/>
        </w:rPr>
        <w:t>7.2.</w:t>
      </w:r>
      <w:r>
        <w:rPr>
          <w:rFonts w:ascii="Cambria" w:hAnsi="Cambria"/>
          <w:sz w:val="24"/>
          <w:szCs w:val="24"/>
        </w:rPr>
        <w:t xml:space="preserve"> Serão aplicadas à responsável pelas infrações administrativas acima descritas as seguintes sanções:</w:t>
      </w:r>
    </w:p>
    <w:p>
      <w:pPr>
        <w:jc w:val="both"/>
        <w:rPr>
          <w:rFonts w:ascii="Cambria" w:hAnsi="Cambria"/>
          <w:sz w:val="24"/>
          <w:szCs w:val="24"/>
        </w:rPr>
      </w:pPr>
    </w:p>
    <w:p>
      <w:pPr>
        <w:jc w:val="both"/>
        <w:rPr>
          <w:rFonts w:ascii="Cambria" w:hAnsi="Cambria"/>
          <w:sz w:val="24"/>
          <w:szCs w:val="24"/>
        </w:rPr>
      </w:pPr>
      <w:r>
        <w:rPr>
          <w:rFonts w:ascii="Cambria" w:hAnsi="Cambria"/>
          <w:sz w:val="24"/>
          <w:szCs w:val="24"/>
        </w:rPr>
        <w:t>a) Advertência, quando a Contratada der causa à inexecução parcial do contrato, sempre que não se justificar a imposição de penalidade mais grave);</w:t>
      </w:r>
    </w:p>
    <w:p>
      <w:pPr>
        <w:jc w:val="both"/>
        <w:rPr>
          <w:rFonts w:ascii="Cambria" w:hAnsi="Cambria"/>
          <w:sz w:val="24"/>
          <w:szCs w:val="24"/>
        </w:rPr>
      </w:pPr>
      <w:r>
        <w:rPr>
          <w:rFonts w:ascii="Cambria" w:hAnsi="Cambria"/>
          <w:sz w:val="24"/>
          <w:szCs w:val="24"/>
        </w:rPr>
        <w:t>b) Impedimento de licitar e contratar, quando praticadas as condutas descritas nas alíneas b, c, d, e, f e g do subitem acima deste contrato, sempre que não se justificar a imposição de penalidade mais grave;</w:t>
      </w:r>
    </w:p>
    <w:p>
      <w:pPr>
        <w:jc w:val="both"/>
        <w:rPr>
          <w:rFonts w:ascii="Cambria" w:hAnsi="Cambria"/>
          <w:sz w:val="24"/>
          <w:szCs w:val="24"/>
        </w:rPr>
      </w:pPr>
      <w:r>
        <w:rPr>
          <w:rFonts w:ascii="Cambria" w:hAnsi="Cambria"/>
          <w:sz w:val="24"/>
          <w:szCs w:val="24"/>
        </w:rPr>
        <w:t>c) Declaração de inidoneidade para licitar e contratar, quando praticadas as condutas descritas nas alíneas h, i, j, k e l do subitem acima deste contrato, bem como nas alíneas b, c, d, e, f e g, que justifiquem a imposição de penalidade mais grave;</w:t>
      </w:r>
    </w:p>
    <w:p>
      <w:pPr>
        <w:jc w:val="both"/>
        <w:rPr>
          <w:rFonts w:ascii="Cambria" w:hAnsi="Cambria"/>
          <w:sz w:val="24"/>
          <w:szCs w:val="24"/>
        </w:rPr>
      </w:pPr>
      <w:r>
        <w:rPr>
          <w:rFonts w:ascii="Cambria" w:hAnsi="Cambria"/>
          <w:sz w:val="24"/>
          <w:szCs w:val="24"/>
        </w:rPr>
        <w:t>d) Multa:</w:t>
      </w:r>
    </w:p>
    <w:p>
      <w:pPr>
        <w:jc w:val="both"/>
        <w:rPr>
          <w:rFonts w:ascii="Cambria" w:hAnsi="Cambria"/>
          <w:sz w:val="24"/>
          <w:szCs w:val="24"/>
        </w:rPr>
      </w:pPr>
      <w:r>
        <w:rPr>
          <w:rFonts w:ascii="Cambria" w:hAnsi="Cambria"/>
          <w:sz w:val="24"/>
          <w:szCs w:val="24"/>
        </w:rPr>
        <w:t>(1) moratória de 0,5% (cinco décimos por cento) por dia de atraso injustificado sobre o valor da parcela inadimplida, até o limite de 30% (trinta por cento) do contrato ou instrumento equivalente;</w:t>
      </w:r>
    </w:p>
    <w:p>
      <w:pPr>
        <w:jc w:val="both"/>
        <w:rPr>
          <w:rFonts w:ascii="Cambria" w:hAnsi="Cambria"/>
          <w:sz w:val="24"/>
          <w:szCs w:val="24"/>
        </w:rPr>
      </w:pPr>
      <w:r>
        <w:rPr>
          <w:rFonts w:ascii="Cambria" w:hAnsi="Cambria"/>
          <w:sz w:val="24"/>
          <w:szCs w:val="24"/>
        </w:rPr>
        <w:t xml:space="preserve">(2) compensatória de 5% (cinco por cento) sobre o valor da parcela inadimplida à Contratada que entregar o objeto contratual em desacordo com as especificações, </w:t>
      </w:r>
      <w:r>
        <w:rPr>
          <w:rFonts w:ascii="Cambria" w:hAnsi="Cambria"/>
          <w:sz w:val="24"/>
          <w:szCs w:val="24"/>
        </w:rPr>
        <w:lastRenderedPageBreak/>
        <w:t>condições e qualidade contratadas ou com irregularidades ou defeitos ocultos que o tornem impróprio para o fim a que se destina;</w:t>
      </w:r>
    </w:p>
    <w:p>
      <w:pPr>
        <w:jc w:val="both"/>
        <w:rPr>
          <w:rFonts w:ascii="Cambria" w:hAnsi="Cambria"/>
          <w:sz w:val="24"/>
          <w:szCs w:val="24"/>
        </w:rPr>
      </w:pPr>
      <w:r>
        <w:rPr>
          <w:rFonts w:ascii="Cambria" w:hAnsi="Cambria"/>
          <w:sz w:val="24"/>
          <w:szCs w:val="24"/>
        </w:rPr>
        <w:t>(3) compensatória de até 3% (três por cento) sobre o valor de referência ao licitante ou contratada que retardar o procedimento de contratação, descumprir preceito normativo ou obrigações assumidas, tais como:</w:t>
      </w:r>
    </w:p>
    <w:p>
      <w:pPr>
        <w:jc w:val="both"/>
        <w:rPr>
          <w:rFonts w:ascii="Cambria" w:hAnsi="Cambria"/>
          <w:sz w:val="24"/>
          <w:szCs w:val="24"/>
        </w:rPr>
      </w:pPr>
      <w:r>
        <w:rPr>
          <w:rFonts w:ascii="Cambria" w:hAnsi="Cambria"/>
          <w:sz w:val="24"/>
          <w:szCs w:val="24"/>
        </w:rPr>
        <w:t>I – propor recursos manifestamente protelatórios em sede de contratação direta;</w:t>
      </w:r>
    </w:p>
    <w:p>
      <w:pPr>
        <w:jc w:val="both"/>
        <w:rPr>
          <w:rFonts w:ascii="Cambria" w:hAnsi="Cambria"/>
          <w:sz w:val="24"/>
          <w:szCs w:val="24"/>
        </w:rPr>
      </w:pPr>
      <w:r>
        <w:rPr>
          <w:rFonts w:ascii="Cambria" w:hAnsi="Cambria"/>
          <w:sz w:val="24"/>
          <w:szCs w:val="24"/>
        </w:rPr>
        <w:t>II – deixar de providenciar o cadastramento da empresa vencedora da licitação ou da contratação direta junto ao Sistema de Cadastro de Fornecedores dentro do prazo concedido, salvo por motivo justificado e aceito pela administração;</w:t>
      </w:r>
    </w:p>
    <w:p>
      <w:pPr>
        <w:jc w:val="both"/>
        <w:rPr>
          <w:rFonts w:ascii="Cambria" w:hAnsi="Cambria"/>
          <w:sz w:val="24"/>
          <w:szCs w:val="24"/>
        </w:rPr>
      </w:pPr>
      <w:r>
        <w:rPr>
          <w:rFonts w:ascii="Cambria" w:hAnsi="Cambria"/>
          <w:sz w:val="24"/>
          <w:szCs w:val="24"/>
        </w:rPr>
        <w:t>III – deixar de cumprir as exigências de reserva de cargos previstas em lei, bem como em outras normas específicas, para pessoa com deficiência, para reabilitado da Previdência Social e para aprendiz;</w:t>
      </w:r>
    </w:p>
    <w:p>
      <w:pPr>
        <w:jc w:val="both"/>
        <w:rPr>
          <w:rFonts w:ascii="Cambria" w:hAnsi="Cambria"/>
          <w:sz w:val="24"/>
          <w:szCs w:val="24"/>
        </w:rPr>
      </w:pPr>
      <w:r>
        <w:rPr>
          <w:rFonts w:ascii="Cambria" w:hAnsi="Cambria"/>
          <w:sz w:val="24"/>
          <w:szCs w:val="24"/>
        </w:rPr>
        <w:t>IV – deixar de cumprir o modelo de gestão do contrato;</w:t>
      </w:r>
    </w:p>
    <w:p>
      <w:pPr>
        <w:jc w:val="both"/>
        <w:rPr>
          <w:rFonts w:ascii="Cambria" w:hAnsi="Cambria"/>
          <w:sz w:val="24"/>
          <w:szCs w:val="24"/>
        </w:rPr>
      </w:pPr>
      <w:r>
        <w:rPr>
          <w:rFonts w:ascii="Cambria" w:hAnsi="Cambria"/>
          <w:sz w:val="24"/>
          <w:szCs w:val="24"/>
        </w:rPr>
        <w:t>V – deixar de complementar o valor da garantia recolhida após solicitação do Contratante;</w:t>
      </w:r>
    </w:p>
    <w:p>
      <w:pPr>
        <w:jc w:val="both"/>
        <w:rPr>
          <w:rFonts w:ascii="Cambria" w:hAnsi="Cambria"/>
          <w:sz w:val="24"/>
          <w:szCs w:val="24"/>
        </w:rPr>
      </w:pPr>
      <w:r>
        <w:rPr>
          <w:rFonts w:ascii="Cambria" w:hAnsi="Cambria"/>
          <w:sz w:val="24"/>
          <w:szCs w:val="24"/>
        </w:rPr>
        <w:t>VI – não devolver os valores pagos indevidamente pelo Contratante;</w:t>
      </w:r>
    </w:p>
    <w:p>
      <w:pPr>
        <w:jc w:val="both"/>
        <w:rPr>
          <w:rFonts w:ascii="Cambria" w:hAnsi="Cambria"/>
          <w:sz w:val="24"/>
          <w:szCs w:val="24"/>
        </w:rPr>
      </w:pPr>
      <w:r>
        <w:rPr>
          <w:rFonts w:ascii="Cambria" w:hAnsi="Cambria"/>
          <w:sz w:val="24"/>
          <w:szCs w:val="24"/>
        </w:rPr>
        <w:t>VII – não manter, durante a execução do contrato, todas as condições exigidas para a habilitação, em caso de licitação, ou para a qualificação, em caso de contratação direta, ou, ainda, quaisquer outras obrigações;</w:t>
      </w:r>
    </w:p>
    <w:p>
      <w:pPr>
        <w:jc w:val="both"/>
        <w:rPr>
          <w:rFonts w:ascii="Cambria" w:hAnsi="Cambria"/>
          <w:sz w:val="24"/>
          <w:szCs w:val="24"/>
        </w:rPr>
      </w:pPr>
      <w:r>
        <w:rPr>
          <w:rFonts w:ascii="Cambria" w:hAnsi="Cambria"/>
          <w:sz w:val="24"/>
          <w:szCs w:val="24"/>
        </w:rPr>
        <w:t>VIII – deixar de regularizar, no prazo definido pela administração, os documentos exigidos pela legislação para fins de liquidação e pagamento da despesa;</w:t>
      </w:r>
    </w:p>
    <w:p>
      <w:pPr>
        <w:jc w:val="both"/>
        <w:rPr>
          <w:rFonts w:ascii="Cambria" w:hAnsi="Cambria"/>
          <w:sz w:val="24"/>
          <w:szCs w:val="24"/>
        </w:rPr>
      </w:pPr>
      <w:r>
        <w:rPr>
          <w:rFonts w:ascii="Cambria" w:hAnsi="Cambria"/>
          <w:sz w:val="24"/>
          <w:szCs w:val="24"/>
        </w:rPr>
        <w:t>IX – manter funcionário sem qualificação para a execução do objeto;</w:t>
      </w:r>
    </w:p>
    <w:p>
      <w:pPr>
        <w:jc w:val="both"/>
        <w:rPr>
          <w:rFonts w:ascii="Cambria" w:hAnsi="Cambria"/>
          <w:sz w:val="24"/>
          <w:szCs w:val="24"/>
        </w:rPr>
      </w:pPr>
      <w:r>
        <w:rPr>
          <w:rFonts w:ascii="Cambria" w:hAnsi="Cambria"/>
          <w:sz w:val="24"/>
          <w:szCs w:val="24"/>
        </w:rPr>
        <w:t>X – utilizar as dependências do Contratante para fins diversos do objeto do contrato;</w:t>
      </w:r>
    </w:p>
    <w:p>
      <w:pPr>
        <w:jc w:val="both"/>
        <w:rPr>
          <w:rFonts w:ascii="Cambria" w:hAnsi="Cambria"/>
          <w:sz w:val="24"/>
          <w:szCs w:val="24"/>
        </w:rPr>
      </w:pPr>
      <w:r>
        <w:rPr>
          <w:rFonts w:ascii="Cambria" w:hAnsi="Cambria"/>
          <w:sz w:val="24"/>
          <w:szCs w:val="24"/>
        </w:rPr>
        <w:t>XI – deixar de substituir empregado cujo comportamento for incompatível com o interesse público, em especial quando solicitado pela administração;</w:t>
      </w:r>
    </w:p>
    <w:p>
      <w:pPr>
        <w:jc w:val="both"/>
        <w:rPr>
          <w:rFonts w:ascii="Cambria" w:hAnsi="Cambria"/>
          <w:sz w:val="24"/>
          <w:szCs w:val="24"/>
        </w:rPr>
      </w:pPr>
      <w:r>
        <w:rPr>
          <w:rFonts w:ascii="Cambria" w:hAnsi="Cambria"/>
          <w:sz w:val="24"/>
          <w:szCs w:val="24"/>
        </w:rPr>
        <w:t>XII – deixar de efetuar o pagamento de salários, vale-transporte, vale-refeição, seguros, encargos fiscais e sociais, bem como deixar de arcar com quaisquer outras despesas relacionadas à execução do contrato nas datas avençadas;</w:t>
      </w:r>
    </w:p>
    <w:p>
      <w:pPr>
        <w:jc w:val="both"/>
        <w:rPr>
          <w:rFonts w:ascii="Cambria" w:hAnsi="Cambria"/>
          <w:sz w:val="24"/>
          <w:szCs w:val="24"/>
        </w:rPr>
      </w:pPr>
      <w:r>
        <w:rPr>
          <w:rFonts w:ascii="Cambria" w:hAnsi="Cambria"/>
          <w:sz w:val="24"/>
          <w:szCs w:val="24"/>
        </w:rPr>
        <w:t>XIII – deixar de apresentar, quando solicitado, documentação fiscal, trabalhista e previdenciária regularizada;</w:t>
      </w:r>
    </w:p>
    <w:p>
      <w:pPr>
        <w:jc w:val="both"/>
        <w:rPr>
          <w:rFonts w:ascii="Cambria" w:hAnsi="Cambria"/>
          <w:sz w:val="24"/>
          <w:szCs w:val="24"/>
        </w:rPr>
      </w:pPr>
      <w:r>
        <w:rPr>
          <w:rFonts w:ascii="Cambria" w:hAnsi="Cambria"/>
          <w:sz w:val="24"/>
          <w:szCs w:val="24"/>
        </w:rPr>
        <w:t>XIV – deixar de regularizar os documentos fiscais no prazo concedido na hipótese de a Contratada enquadrar-se como Microempresa, Empresa de Pequeno Porte ou equiparados, nos termos da Lei Complementar Federal nº 123, de 14 de dezembro de 2006;</w:t>
      </w:r>
    </w:p>
    <w:p>
      <w:pPr>
        <w:jc w:val="both"/>
        <w:rPr>
          <w:rFonts w:ascii="Cambria" w:hAnsi="Cambria"/>
          <w:sz w:val="24"/>
          <w:szCs w:val="24"/>
        </w:rPr>
      </w:pPr>
      <w:r>
        <w:rPr>
          <w:rFonts w:ascii="Cambria" w:hAnsi="Cambria"/>
          <w:sz w:val="24"/>
          <w:szCs w:val="24"/>
        </w:rPr>
        <w:t>XV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jc w:val="both"/>
        <w:rPr>
          <w:rFonts w:ascii="Cambria" w:hAnsi="Cambria"/>
          <w:sz w:val="24"/>
          <w:szCs w:val="24"/>
        </w:rPr>
      </w:pPr>
      <w:r>
        <w:rPr>
          <w:rFonts w:ascii="Cambria" w:hAnsi="Cambria"/>
          <w:sz w:val="24"/>
          <w:szCs w:val="24"/>
        </w:rPr>
        <w:t>XVI – subcontratar o objeto ou a execução de serviços em percentual superior ao permitido no contrato, ou de forma que configure inexistência de condições reais de prestação do serviço ou fornecimento do bem.</w:t>
      </w:r>
    </w:p>
    <w:p>
      <w:pPr>
        <w:jc w:val="both"/>
        <w:rPr>
          <w:rFonts w:ascii="Cambria" w:hAnsi="Cambria"/>
          <w:sz w:val="24"/>
          <w:szCs w:val="24"/>
        </w:rPr>
      </w:pPr>
    </w:p>
    <w:p>
      <w:pPr>
        <w:jc w:val="both"/>
        <w:rPr>
          <w:rFonts w:ascii="Cambria" w:hAnsi="Cambria"/>
          <w:sz w:val="24"/>
          <w:szCs w:val="24"/>
        </w:rPr>
      </w:pPr>
      <w:r>
        <w:rPr>
          <w:rFonts w:ascii="Cambria" w:hAnsi="Cambria"/>
          <w:sz w:val="24"/>
          <w:szCs w:val="24"/>
        </w:rPr>
        <w:t>Nota Explicativa: É possível inserir hipóteses de multa e percentuais específicos para o fornecimento indicado, conforme detalhamento e especificidades indicadas no ETP ou TR, inclusive com periodicidade de atraso diferente do indicado no decreto (hora, quinzena etc)</w:t>
      </w:r>
    </w:p>
    <w:p>
      <w:pPr>
        <w:jc w:val="both"/>
        <w:rPr>
          <w:rFonts w:ascii="Cambria" w:hAnsi="Cambria"/>
          <w:sz w:val="24"/>
          <w:szCs w:val="24"/>
        </w:rPr>
      </w:pPr>
      <w:r>
        <w:rPr>
          <w:rFonts w:ascii="Cambria" w:hAnsi="Cambria"/>
          <w:sz w:val="24"/>
          <w:szCs w:val="24"/>
        </w:rPr>
        <w:lastRenderedPageBreak/>
        <w:t xml:space="preserve">e) O atraso superior a 20 (vinte) dias, ou a manutenção da irregularidade, autoriza a Administração a promover a rescisão do contrato por descumprimento ou cumprimento irregular de suas cláusulas, conforme dispõe o inciso I do art. 137 da Lei n. 14.133, de 2021. </w:t>
      </w:r>
    </w:p>
    <w:p>
      <w:pPr>
        <w:jc w:val="both"/>
        <w:rPr>
          <w:rFonts w:ascii="Cambria" w:hAnsi="Cambria"/>
          <w:sz w:val="24"/>
          <w:szCs w:val="24"/>
        </w:rPr>
      </w:pPr>
      <w:r>
        <w:rPr>
          <w:rFonts w:ascii="Cambria" w:hAnsi="Cambria"/>
          <w:b/>
          <w:bCs/>
          <w:sz w:val="24"/>
          <w:szCs w:val="24"/>
        </w:rPr>
        <w:t>7.3.</w:t>
      </w:r>
      <w:r>
        <w:rPr>
          <w:rFonts w:ascii="Cambria" w:hAnsi="Cambria"/>
          <w:sz w:val="24"/>
          <w:szCs w:val="24"/>
        </w:rPr>
        <w:t xml:space="preserve"> A aplicação das sanções previstas neste contrato não exclui, em hipótese alguma, a obrigação de reparação integral do dano causado ao Contratante.</w:t>
      </w:r>
    </w:p>
    <w:p>
      <w:pPr>
        <w:jc w:val="both"/>
        <w:rPr>
          <w:rFonts w:ascii="Cambria" w:hAnsi="Cambria"/>
          <w:sz w:val="24"/>
          <w:szCs w:val="24"/>
        </w:rPr>
      </w:pPr>
      <w:r>
        <w:rPr>
          <w:rFonts w:ascii="Cambria" w:hAnsi="Cambria"/>
          <w:b/>
          <w:bCs/>
          <w:sz w:val="24"/>
          <w:szCs w:val="24"/>
        </w:rPr>
        <w:t>7.4.</w:t>
      </w:r>
      <w:r>
        <w:rPr>
          <w:rFonts w:ascii="Cambria" w:hAnsi="Cambria"/>
          <w:sz w:val="24"/>
          <w:szCs w:val="24"/>
        </w:rPr>
        <w:t xml:space="preserve"> Todas as sanções previstas neste contrato poderão ser aplicadas cumulativamente com a multa </w:t>
      </w:r>
    </w:p>
    <w:p>
      <w:pPr>
        <w:jc w:val="both"/>
        <w:rPr>
          <w:rFonts w:ascii="Cambria" w:hAnsi="Cambria"/>
          <w:sz w:val="24"/>
          <w:szCs w:val="24"/>
        </w:rPr>
      </w:pPr>
      <w:r>
        <w:rPr>
          <w:rFonts w:ascii="Cambria" w:hAnsi="Cambria"/>
          <w:b/>
          <w:bCs/>
          <w:sz w:val="24"/>
          <w:szCs w:val="24"/>
        </w:rPr>
        <w:t>7.4.1.</w:t>
      </w:r>
      <w:r>
        <w:rPr>
          <w:rFonts w:ascii="Cambria" w:hAnsi="Cambria"/>
          <w:sz w:val="24"/>
          <w:szCs w:val="24"/>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jc w:val="both"/>
        <w:rPr>
          <w:rFonts w:ascii="Cambria" w:hAnsi="Cambria"/>
          <w:sz w:val="24"/>
          <w:szCs w:val="24"/>
        </w:rPr>
      </w:pPr>
      <w:r>
        <w:rPr>
          <w:rFonts w:ascii="Cambria" w:hAnsi="Cambria"/>
          <w:b/>
          <w:bCs/>
          <w:sz w:val="24"/>
          <w:szCs w:val="24"/>
        </w:rPr>
        <w:t>7.4.2.</w:t>
      </w:r>
      <w:r>
        <w:rPr>
          <w:rFonts w:ascii="Cambria" w:hAnsi="Cambria"/>
          <w:sz w:val="24"/>
          <w:szCs w:val="24"/>
        </w:rPr>
        <w:t xml:space="preserve"> Previamente ao encaminhamento à cobrança judicial, a multa poderá ser recolhida administrativamente no prazo máximo de 05 (cinco) dias, a contar da data do recebimento da comunicação enviada pela autoridade competente.</w:t>
      </w:r>
    </w:p>
    <w:p>
      <w:pPr>
        <w:jc w:val="both"/>
        <w:rPr>
          <w:rFonts w:ascii="Cambria" w:hAnsi="Cambria"/>
          <w:sz w:val="24"/>
          <w:szCs w:val="24"/>
        </w:rPr>
      </w:pPr>
      <w:r>
        <w:rPr>
          <w:rFonts w:ascii="Cambria" w:hAnsi="Cambria"/>
          <w:b/>
          <w:bCs/>
          <w:sz w:val="24"/>
          <w:szCs w:val="24"/>
        </w:rPr>
        <w:t>7.5.</w:t>
      </w:r>
      <w:r>
        <w:rPr>
          <w:rFonts w:ascii="Cambria" w:hAnsi="Cambria"/>
          <w:sz w:val="24"/>
          <w:szCs w:val="24"/>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jc w:val="both"/>
        <w:rPr>
          <w:rFonts w:ascii="Cambria" w:hAnsi="Cambria"/>
          <w:sz w:val="24"/>
          <w:szCs w:val="24"/>
        </w:rPr>
      </w:pPr>
      <w:r>
        <w:rPr>
          <w:rFonts w:ascii="Cambria" w:hAnsi="Cambria"/>
          <w:b/>
          <w:bCs/>
          <w:sz w:val="24"/>
          <w:szCs w:val="24"/>
        </w:rPr>
        <w:t>7.6.</w:t>
      </w:r>
      <w:r>
        <w:rPr>
          <w:rFonts w:ascii="Cambria" w:hAnsi="Cambria"/>
          <w:sz w:val="24"/>
          <w:szCs w:val="24"/>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jc w:val="both"/>
        <w:rPr>
          <w:rFonts w:ascii="Cambria" w:hAnsi="Cambria"/>
          <w:sz w:val="24"/>
          <w:szCs w:val="24"/>
        </w:rPr>
      </w:pPr>
      <w:r>
        <w:rPr>
          <w:rFonts w:ascii="Cambria" w:hAnsi="Cambria"/>
          <w:b/>
          <w:bCs/>
          <w:sz w:val="24"/>
          <w:szCs w:val="24"/>
        </w:rPr>
        <w:t>7.7.</w:t>
      </w:r>
      <w:r>
        <w:rPr>
          <w:rFonts w:ascii="Cambria" w:hAnsi="Cambria"/>
          <w:sz w:val="24"/>
          <w:szCs w:val="24"/>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p>
    <w:p>
      <w:pPr>
        <w:jc w:val="both"/>
        <w:rPr>
          <w:rFonts w:ascii="Cambria" w:hAnsi="Cambria"/>
          <w:sz w:val="24"/>
          <w:szCs w:val="24"/>
        </w:rPr>
      </w:pPr>
      <w:r>
        <w:rPr>
          <w:rFonts w:ascii="Cambria" w:hAnsi="Cambria"/>
          <w:b/>
          <w:bCs/>
          <w:sz w:val="24"/>
          <w:szCs w:val="24"/>
        </w:rPr>
        <w:t>7.8.</w:t>
      </w:r>
      <w:r>
        <w:rPr>
          <w:rFonts w:ascii="Cambria" w:hAnsi="Cambria"/>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jc w:val="both"/>
        <w:rPr>
          <w:rFonts w:ascii="Cambria" w:hAnsi="Cambria"/>
          <w:sz w:val="24"/>
          <w:szCs w:val="24"/>
          <w:lang w:eastAsia="ar-SA"/>
        </w:rPr>
      </w:pPr>
      <w:r>
        <w:rPr>
          <w:rFonts w:ascii="Cambria" w:hAnsi="Cambria"/>
          <w:b/>
          <w:bCs/>
          <w:sz w:val="24"/>
          <w:szCs w:val="24"/>
        </w:rPr>
        <w:t>7.9.</w:t>
      </w:r>
      <w:r>
        <w:rPr>
          <w:rFonts w:ascii="Cambria" w:hAnsi="Cambria"/>
          <w:sz w:val="24"/>
          <w:szCs w:val="24"/>
        </w:rPr>
        <w:t xml:space="preserve"> As sanções de impedimento de licitar e contratar e declaração de inidoneidade para licitar ou contratar são passíveis de reabilitação na forma do art. 62 do Decreto municipal nº 18.096, de 2022.</w:t>
      </w:r>
    </w:p>
    <w:p>
      <w:pPr>
        <w:jc w:val="both"/>
        <w:rPr>
          <w:rFonts w:ascii="Cambria" w:hAnsi="Cambria"/>
          <w:b/>
          <w:sz w:val="24"/>
          <w:szCs w:val="24"/>
        </w:rPr>
      </w:pPr>
    </w:p>
    <w:p>
      <w:pPr>
        <w:jc w:val="both"/>
        <w:rPr>
          <w:rFonts w:ascii="Cambria" w:hAnsi="Cambria"/>
          <w:b/>
          <w:sz w:val="24"/>
          <w:szCs w:val="24"/>
        </w:rPr>
      </w:pPr>
      <w:r>
        <w:rPr>
          <w:rFonts w:ascii="Cambria" w:hAnsi="Cambria"/>
          <w:b/>
          <w:sz w:val="24"/>
          <w:szCs w:val="24"/>
        </w:rPr>
        <w:t>CLÁUSULA OITAVA - DA EXTINÇÃO CONTRATUAL</w:t>
      </w:r>
    </w:p>
    <w:p>
      <w:pPr>
        <w:jc w:val="both"/>
        <w:rPr>
          <w:rFonts w:ascii="Cambria" w:hAnsi="Cambria"/>
          <w:sz w:val="24"/>
          <w:szCs w:val="24"/>
        </w:rPr>
      </w:pPr>
      <w:r>
        <w:rPr>
          <w:rFonts w:ascii="Cambria" w:hAnsi="Cambria"/>
          <w:b/>
          <w:sz w:val="24"/>
          <w:szCs w:val="24"/>
        </w:rPr>
        <w:t>8.1.</w:t>
      </w:r>
      <w:r>
        <w:rPr>
          <w:rFonts w:ascii="Cambria" w:hAnsi="Cambria"/>
          <w:sz w:val="24"/>
          <w:szCs w:val="24"/>
        </w:rPr>
        <w:t>O contrato pode ser extinto antes de cumpridas as obrigações nele estipuladas, ou antes do prazo nele fixado, por algum dos motivos previstos no artigo 137 da Lei nº 14.111/2021, bem como amigavelmente, assegurados o contraditório e a ampla defesa.</w:t>
      </w:r>
    </w:p>
    <w:p>
      <w:pPr>
        <w:jc w:val="both"/>
        <w:rPr>
          <w:rFonts w:ascii="Cambria" w:hAnsi="Cambria"/>
          <w:sz w:val="24"/>
          <w:szCs w:val="24"/>
        </w:rPr>
      </w:pPr>
      <w:r>
        <w:rPr>
          <w:rFonts w:ascii="Cambria" w:hAnsi="Cambria"/>
          <w:b/>
          <w:bCs/>
          <w:sz w:val="24"/>
          <w:szCs w:val="24"/>
        </w:rPr>
        <w:t>8.1.1.</w:t>
      </w:r>
      <w:r>
        <w:rPr>
          <w:rFonts w:ascii="Cambria" w:hAnsi="Cambria"/>
          <w:sz w:val="24"/>
          <w:szCs w:val="24"/>
        </w:rPr>
        <w:t xml:space="preserve"> Nesta hipótese, aplicam-se também os artigos 138 e 139 da mesma Lei.</w:t>
      </w:r>
    </w:p>
    <w:p>
      <w:pPr>
        <w:jc w:val="both"/>
        <w:rPr>
          <w:rFonts w:ascii="Cambria" w:hAnsi="Cambria"/>
          <w:sz w:val="24"/>
          <w:szCs w:val="24"/>
        </w:rPr>
      </w:pPr>
      <w:r>
        <w:rPr>
          <w:rFonts w:ascii="Cambria" w:hAnsi="Cambria"/>
          <w:b/>
          <w:bCs/>
          <w:sz w:val="24"/>
          <w:szCs w:val="24"/>
        </w:rPr>
        <w:lastRenderedPageBreak/>
        <w:t>8.1.2.</w:t>
      </w:r>
      <w:r>
        <w:rPr>
          <w:rFonts w:ascii="Cambria" w:hAnsi="Cambria"/>
          <w:sz w:val="24"/>
          <w:szCs w:val="24"/>
        </w:rPr>
        <w:t xml:space="preserve"> A alteração social ou modificação da finalidade ou da estrutura da empresa não ensejará rescisão se não restringir sua capacidade de concluir o contrato.</w:t>
      </w:r>
    </w:p>
    <w:p>
      <w:pPr>
        <w:jc w:val="both"/>
        <w:rPr>
          <w:rFonts w:ascii="Cambria" w:hAnsi="Cambria"/>
          <w:sz w:val="24"/>
          <w:szCs w:val="24"/>
        </w:rPr>
      </w:pPr>
      <w:r>
        <w:rPr>
          <w:rFonts w:ascii="Cambria" w:hAnsi="Cambria"/>
          <w:b/>
          <w:bCs/>
          <w:sz w:val="24"/>
          <w:szCs w:val="24"/>
        </w:rPr>
        <w:t>8.1.2.1.</w:t>
      </w:r>
      <w:r>
        <w:rPr>
          <w:rFonts w:ascii="Cambria" w:hAnsi="Cambria"/>
          <w:sz w:val="24"/>
          <w:szCs w:val="24"/>
        </w:rPr>
        <w:t xml:space="preserve"> Se a operação implicar mudança da pessoa jurídica contratada, deverá ser formalizado termo aditivo para alteração subjetiva.</w:t>
      </w:r>
    </w:p>
    <w:p>
      <w:pPr>
        <w:jc w:val="both"/>
        <w:rPr>
          <w:rFonts w:ascii="Cambria" w:hAnsi="Cambria"/>
          <w:sz w:val="24"/>
          <w:szCs w:val="24"/>
        </w:rPr>
      </w:pPr>
      <w:r>
        <w:rPr>
          <w:rFonts w:ascii="Cambria" w:hAnsi="Cambria"/>
          <w:b/>
          <w:bCs/>
          <w:sz w:val="24"/>
          <w:szCs w:val="24"/>
        </w:rPr>
        <w:t>8.2.</w:t>
      </w:r>
      <w:r>
        <w:rPr>
          <w:rFonts w:ascii="Cambria" w:hAnsi="Cambria"/>
          <w:sz w:val="24"/>
          <w:szCs w:val="24"/>
        </w:rPr>
        <w:t xml:space="preserve"> O termo de rescisão, sempre que possível, será precedido:</w:t>
      </w:r>
    </w:p>
    <w:p>
      <w:pPr>
        <w:jc w:val="both"/>
        <w:rPr>
          <w:rFonts w:ascii="Cambria" w:hAnsi="Cambria"/>
          <w:sz w:val="24"/>
          <w:szCs w:val="24"/>
        </w:rPr>
      </w:pPr>
      <w:r>
        <w:rPr>
          <w:rFonts w:ascii="Cambria" w:hAnsi="Cambria"/>
          <w:b/>
          <w:bCs/>
          <w:sz w:val="24"/>
          <w:szCs w:val="24"/>
        </w:rPr>
        <w:t>8.2.1.</w:t>
      </w:r>
      <w:r>
        <w:rPr>
          <w:rFonts w:ascii="Cambria" w:hAnsi="Cambria"/>
          <w:sz w:val="24"/>
          <w:szCs w:val="24"/>
        </w:rPr>
        <w:t xml:space="preserve"> Balanço dos eventos contratuais já cumpridos ou parcialmente cumpridos;</w:t>
      </w:r>
    </w:p>
    <w:p>
      <w:pPr>
        <w:jc w:val="both"/>
        <w:rPr>
          <w:rFonts w:ascii="Cambria" w:hAnsi="Cambria"/>
          <w:sz w:val="24"/>
          <w:szCs w:val="24"/>
        </w:rPr>
      </w:pPr>
      <w:r>
        <w:rPr>
          <w:rFonts w:ascii="Cambria" w:hAnsi="Cambria"/>
          <w:b/>
          <w:bCs/>
          <w:sz w:val="24"/>
          <w:szCs w:val="24"/>
        </w:rPr>
        <w:t>8.2.2.</w:t>
      </w:r>
      <w:r>
        <w:rPr>
          <w:rFonts w:ascii="Cambria" w:hAnsi="Cambria"/>
          <w:sz w:val="24"/>
          <w:szCs w:val="24"/>
        </w:rPr>
        <w:t xml:space="preserve"> Relação dos pagamentos já efetuados e ainda devidos;</w:t>
      </w:r>
    </w:p>
    <w:p>
      <w:pPr>
        <w:jc w:val="both"/>
        <w:rPr>
          <w:rFonts w:ascii="Cambria" w:hAnsi="Cambria"/>
          <w:sz w:val="24"/>
          <w:szCs w:val="24"/>
        </w:rPr>
      </w:pPr>
      <w:r>
        <w:rPr>
          <w:rFonts w:ascii="Cambria" w:hAnsi="Cambria"/>
          <w:b/>
          <w:bCs/>
          <w:sz w:val="24"/>
          <w:szCs w:val="24"/>
        </w:rPr>
        <w:t>8.2.3.</w:t>
      </w:r>
      <w:r>
        <w:rPr>
          <w:rFonts w:ascii="Cambria" w:hAnsi="Cambria"/>
          <w:sz w:val="24"/>
          <w:szCs w:val="24"/>
        </w:rPr>
        <w:t xml:space="preserve"> Indenizações e multas.</w:t>
      </w:r>
    </w:p>
    <w:p>
      <w:pPr>
        <w:jc w:val="both"/>
        <w:rPr>
          <w:rFonts w:ascii="Cambria" w:hAnsi="Cambria"/>
          <w:sz w:val="24"/>
          <w:szCs w:val="24"/>
        </w:rPr>
      </w:pPr>
      <w:r>
        <w:rPr>
          <w:rFonts w:ascii="Cambria" w:hAnsi="Cambria"/>
          <w:b/>
          <w:bCs/>
          <w:sz w:val="24"/>
          <w:szCs w:val="24"/>
        </w:rPr>
        <w:t>8.3.</w:t>
      </w:r>
      <w:r>
        <w:rPr>
          <w:rFonts w:ascii="Cambria" w:hAnsi="Cambria"/>
          <w:sz w:val="24"/>
          <w:szCs w:val="24"/>
        </w:rPr>
        <w:t xml:space="preserve"> A extinção do contrato não configura óbice para o reconhecimento do desequilíbrio econômico-financeiro, hipótese em que será concedida indenização por meio de termo indenizatório, obedecidas as condicionantes legais.</w:t>
      </w:r>
    </w:p>
    <w:p>
      <w:pPr>
        <w:jc w:val="both"/>
        <w:rPr>
          <w:rFonts w:ascii="Cambria" w:hAnsi="Cambria"/>
          <w:sz w:val="24"/>
          <w:szCs w:val="24"/>
        </w:rPr>
      </w:pPr>
      <w:r>
        <w:rPr>
          <w:rFonts w:ascii="Cambria" w:hAnsi="Cambria"/>
          <w:b/>
          <w:bCs/>
          <w:sz w:val="24"/>
          <w:szCs w:val="24"/>
        </w:rPr>
        <w:t>8.4.</w:t>
      </w:r>
      <w:r>
        <w:rPr>
          <w:rFonts w:ascii="Cambria" w:hAnsi="Cambria"/>
          <w:sz w:val="24"/>
          <w:szCs w:val="24"/>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jc w:val="both"/>
        <w:rPr>
          <w:rFonts w:ascii="Cambria" w:hAnsi="Cambria"/>
          <w:b/>
          <w:sz w:val="24"/>
          <w:szCs w:val="24"/>
        </w:rPr>
      </w:pPr>
    </w:p>
    <w:p>
      <w:pPr>
        <w:jc w:val="both"/>
        <w:rPr>
          <w:rFonts w:ascii="Cambria" w:hAnsi="Cambria"/>
          <w:b/>
          <w:sz w:val="24"/>
          <w:szCs w:val="24"/>
        </w:rPr>
      </w:pPr>
      <w:r>
        <w:rPr>
          <w:rFonts w:ascii="Cambria" w:hAnsi="Cambria"/>
          <w:b/>
          <w:sz w:val="24"/>
          <w:szCs w:val="24"/>
        </w:rPr>
        <w:t>CLÁUSULA NONA - DAS DISPOSIÇÕES FINAIS</w:t>
      </w:r>
    </w:p>
    <w:p>
      <w:pPr>
        <w:jc w:val="both"/>
        <w:rPr>
          <w:rFonts w:ascii="Cambria" w:hAnsi="Cambria"/>
          <w:sz w:val="24"/>
          <w:szCs w:val="24"/>
        </w:rPr>
      </w:pPr>
      <w:r>
        <w:rPr>
          <w:rFonts w:ascii="Cambria" w:hAnsi="Cambria"/>
          <w:b/>
          <w:sz w:val="24"/>
          <w:szCs w:val="24"/>
        </w:rPr>
        <w:t>9.1.</w:t>
      </w:r>
      <w:r>
        <w:rPr>
          <w:rFonts w:ascii="Cambria" w:hAnsi="Cambria"/>
          <w:sz w:val="24"/>
          <w:szCs w:val="24"/>
        </w:rPr>
        <w:t xml:space="preserve"> O CONTRATADO se obriga a manter, durante toda a execução do contrato, em compatibilidade com as obrigações por ele assumidas, todas as condições de habilitação e qualificação exigidas na licitação.</w:t>
      </w:r>
    </w:p>
    <w:p>
      <w:pPr>
        <w:jc w:val="both"/>
        <w:rPr>
          <w:rFonts w:ascii="Cambria" w:hAnsi="Cambria"/>
          <w:sz w:val="24"/>
          <w:szCs w:val="24"/>
        </w:rPr>
      </w:pPr>
      <w:r>
        <w:rPr>
          <w:rFonts w:ascii="Cambria" w:hAnsi="Cambria"/>
          <w:b/>
          <w:sz w:val="24"/>
          <w:szCs w:val="24"/>
        </w:rPr>
        <w:t>9.2.</w:t>
      </w:r>
      <w:r>
        <w:rPr>
          <w:rFonts w:ascii="Cambria" w:hAnsi="Cambria"/>
          <w:sz w:val="24"/>
          <w:szCs w:val="24"/>
        </w:rPr>
        <w:t xml:space="preserve"> O presente contrato tem seus termos e sua execução vinculada ao edital de licitação e à proposta licitatória. </w:t>
      </w:r>
    </w:p>
    <w:p>
      <w:pPr>
        <w:jc w:val="both"/>
        <w:rPr>
          <w:rFonts w:ascii="Cambria" w:hAnsi="Cambria"/>
          <w:sz w:val="24"/>
          <w:szCs w:val="24"/>
        </w:rPr>
      </w:pPr>
      <w:r>
        <w:rPr>
          <w:rFonts w:ascii="Cambria" w:hAnsi="Cambria"/>
          <w:b/>
          <w:sz w:val="24"/>
          <w:szCs w:val="24"/>
        </w:rPr>
        <w:t>9.3.</w:t>
      </w:r>
      <w:r>
        <w:rPr>
          <w:rFonts w:ascii="Cambria" w:hAnsi="Cambria"/>
          <w:sz w:val="24"/>
          <w:szCs w:val="24"/>
        </w:rPr>
        <w:t xml:space="preserve"> O CONTRATANTE se reserva o direito de fazer uso de qualquer das prerrogativas dispostas no artigo 104 da Lei nº 14.133/2021 de 1º de abril de 2021, alterada e consolidada.</w:t>
      </w:r>
    </w:p>
    <w:p>
      <w:pPr>
        <w:jc w:val="both"/>
        <w:rPr>
          <w:rFonts w:ascii="Cambria" w:hAnsi="Cambria"/>
          <w:sz w:val="24"/>
          <w:szCs w:val="24"/>
        </w:rPr>
      </w:pPr>
      <w:r>
        <w:rPr>
          <w:rFonts w:ascii="Cambria" w:hAnsi="Cambria"/>
          <w:b/>
          <w:sz w:val="24"/>
          <w:szCs w:val="24"/>
        </w:rPr>
        <w:t>9.4.</w:t>
      </w:r>
      <w:r>
        <w:rPr>
          <w:rFonts w:ascii="Cambria" w:hAnsi="Cambria"/>
          <w:sz w:val="24"/>
          <w:szCs w:val="24"/>
        </w:rPr>
        <w:t xml:space="preserve"> O presente contrato poderá ser alterado unilateralmente pela Administração ou por acordo das partes, com as devidas justificativas, nos casos previstos na Lei.</w:t>
      </w:r>
    </w:p>
    <w:p>
      <w:pPr>
        <w:jc w:val="both"/>
        <w:rPr>
          <w:rFonts w:ascii="Cambria" w:hAnsi="Cambria"/>
          <w:sz w:val="24"/>
          <w:szCs w:val="24"/>
        </w:rPr>
      </w:pPr>
      <w:r>
        <w:rPr>
          <w:rFonts w:ascii="Cambria" w:hAnsi="Cambria"/>
          <w:b/>
          <w:sz w:val="24"/>
          <w:szCs w:val="24"/>
        </w:rPr>
        <w:t>9.5.</w:t>
      </w:r>
      <w:r>
        <w:rPr>
          <w:rFonts w:ascii="Cambria" w:hAnsi="Cambria"/>
          <w:sz w:val="24"/>
          <w:szCs w:val="24"/>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jc w:val="both"/>
        <w:rPr>
          <w:rFonts w:ascii="Cambria" w:hAnsi="Cambria"/>
          <w:sz w:val="24"/>
          <w:szCs w:val="24"/>
        </w:rPr>
      </w:pPr>
      <w:r>
        <w:rPr>
          <w:rFonts w:ascii="Cambria" w:hAnsi="Cambria"/>
          <w:b/>
          <w:sz w:val="24"/>
          <w:szCs w:val="24"/>
        </w:rPr>
        <w:t>9.6.</w:t>
      </w:r>
      <w:r>
        <w:rPr>
          <w:rFonts w:ascii="Cambria" w:hAnsi="Cambria"/>
          <w:sz w:val="24"/>
          <w:szCs w:val="24"/>
        </w:rPr>
        <w:t xml:space="preserve"> O contratado, na execução do contrato, sem prejuízo das responsabilidades contratuais e legais, não poderá subcontratar partes do contrato sem a expressa autorização da Administração.</w:t>
      </w:r>
    </w:p>
    <w:p>
      <w:pPr>
        <w:jc w:val="both"/>
        <w:rPr>
          <w:rFonts w:ascii="Cambria" w:hAnsi="Cambria"/>
          <w:sz w:val="24"/>
          <w:szCs w:val="24"/>
        </w:rPr>
      </w:pPr>
      <w:r>
        <w:rPr>
          <w:rFonts w:ascii="Cambria" w:hAnsi="Cambria"/>
          <w:b/>
          <w:sz w:val="24"/>
          <w:szCs w:val="24"/>
        </w:rPr>
        <w:t>9.7.</w:t>
      </w:r>
      <w:r>
        <w:rPr>
          <w:rFonts w:ascii="Cambria" w:hAnsi="Cambria"/>
          <w:sz w:val="24"/>
          <w:szCs w:val="24"/>
        </w:rPr>
        <w:t xml:space="preserve"> A Administração rejeitará, no todo ou em parte, os bens fornecidos em desacordo com os termos do Processo Licitatório, da proposta e deste contrato.</w:t>
      </w:r>
    </w:p>
    <w:p>
      <w:pPr>
        <w:jc w:val="both"/>
        <w:rPr>
          <w:rFonts w:ascii="Cambria" w:hAnsi="Cambria"/>
          <w:sz w:val="24"/>
          <w:szCs w:val="24"/>
        </w:rPr>
      </w:pPr>
      <w:r>
        <w:rPr>
          <w:rFonts w:ascii="Cambria" w:hAnsi="Cambria"/>
          <w:b/>
          <w:sz w:val="24"/>
          <w:szCs w:val="24"/>
        </w:rPr>
        <w:t>9.8.</w:t>
      </w:r>
      <w:r>
        <w:rPr>
          <w:rFonts w:ascii="Cambria" w:hAnsi="Cambria"/>
          <w:sz w:val="24"/>
          <w:szCs w:val="24"/>
        </w:rPr>
        <w:t xml:space="preserve"> Integram o presente contrato, independente de transcrição, todas as peças que formam o procedimento licitatório e a proposta adjudicada.</w:t>
      </w:r>
    </w:p>
    <w:p>
      <w:pPr>
        <w:jc w:val="both"/>
        <w:rPr>
          <w:rFonts w:ascii="Cambria" w:hAnsi="Cambria"/>
          <w:sz w:val="24"/>
          <w:szCs w:val="24"/>
        </w:rPr>
      </w:pPr>
      <w:r>
        <w:rPr>
          <w:rFonts w:ascii="Cambria" w:hAnsi="Cambria"/>
          <w:b/>
          <w:sz w:val="24"/>
          <w:szCs w:val="24"/>
        </w:rPr>
        <w:t>9.9.</w:t>
      </w:r>
      <w:r>
        <w:rPr>
          <w:rFonts w:ascii="Cambria" w:hAnsi="Cambria"/>
          <w:sz w:val="24"/>
          <w:szCs w:val="24"/>
        </w:rPr>
        <w:t xml:space="preserve"> A Contratada, na vigência do Contrato, será a única responsável perante terceiros pelos atos praticados por seu pessoal, eximida a Contratante de quaisquer reclamações e indenizações.</w:t>
      </w:r>
    </w:p>
    <w:p>
      <w:pPr>
        <w:jc w:val="both"/>
        <w:rPr>
          <w:rFonts w:ascii="Cambria" w:hAnsi="Cambria"/>
          <w:b/>
          <w:sz w:val="24"/>
          <w:szCs w:val="24"/>
        </w:rPr>
      </w:pPr>
    </w:p>
    <w:p>
      <w:pPr>
        <w:jc w:val="both"/>
        <w:rPr>
          <w:rFonts w:ascii="Cambria" w:hAnsi="Cambria"/>
          <w:b/>
          <w:sz w:val="24"/>
          <w:szCs w:val="24"/>
        </w:rPr>
      </w:pPr>
      <w:r>
        <w:rPr>
          <w:rFonts w:ascii="Cambria" w:hAnsi="Cambria"/>
          <w:b/>
          <w:sz w:val="24"/>
          <w:szCs w:val="24"/>
        </w:rPr>
        <w:t>CLÁUSULA DÉCIMA - DO FORO</w:t>
      </w:r>
    </w:p>
    <w:p>
      <w:pPr>
        <w:jc w:val="both"/>
        <w:rPr>
          <w:rFonts w:ascii="Cambria" w:hAnsi="Cambria"/>
          <w:sz w:val="24"/>
          <w:szCs w:val="24"/>
        </w:rPr>
      </w:pPr>
      <w:r>
        <w:rPr>
          <w:rFonts w:ascii="Cambria" w:hAnsi="Cambria"/>
          <w:b/>
          <w:sz w:val="24"/>
          <w:szCs w:val="24"/>
        </w:rPr>
        <w:lastRenderedPageBreak/>
        <w:t>10.1.</w:t>
      </w:r>
      <w:r>
        <w:rPr>
          <w:rFonts w:ascii="Cambria" w:hAnsi="Cambria"/>
          <w:sz w:val="24"/>
          <w:szCs w:val="24"/>
        </w:rPr>
        <w:t xml:space="preserve"> O foro da Comarca de Miraíma/CE é o competente para dirimir questões decorrentes da execução deste Contrato, em obediência ao disposto no § 1º do artigo 99 da Lei 14.133/2021 de 1º de abril de 2021, alterada e consolidada.</w:t>
      </w:r>
    </w:p>
    <w:p>
      <w:pPr>
        <w:jc w:val="both"/>
        <w:rPr>
          <w:rFonts w:ascii="Cambria" w:hAnsi="Cambria"/>
          <w:sz w:val="24"/>
          <w:szCs w:val="24"/>
        </w:rPr>
      </w:pPr>
    </w:p>
    <w:p>
      <w:pPr>
        <w:jc w:val="both"/>
        <w:rPr>
          <w:rFonts w:ascii="Cambria" w:hAnsi="Cambria"/>
          <w:sz w:val="24"/>
          <w:szCs w:val="24"/>
        </w:rPr>
      </w:pPr>
      <w:r>
        <w:rPr>
          <w:rFonts w:ascii="Cambria" w:hAnsi="Cambria"/>
          <w:sz w:val="24"/>
          <w:szCs w:val="24"/>
        </w:rPr>
        <w:t xml:space="preserve">Assim pactuadas, as partes firmam o presente Instrumento, lavrado na </w:t>
      </w:r>
      <w:r>
        <w:rPr>
          <w:rFonts w:ascii="Cambria" w:eastAsia="TimesNewRoman" w:hAnsi="Cambria"/>
          <w:sz w:val="24"/>
          <w:szCs w:val="24"/>
        </w:rPr>
        <w:t>Prefeitura Municipal de Miraíma/CE</w:t>
      </w:r>
      <w:r>
        <w:rPr>
          <w:rFonts w:ascii="Cambria" w:hAnsi="Cambria"/>
          <w:sz w:val="24"/>
          <w:szCs w:val="24"/>
        </w:rPr>
        <w:t>, perante testemunhas que também o assinam, para que produza os seus jurídicos e legais efeitos.</w:t>
      </w:r>
    </w:p>
    <w:p>
      <w:pPr>
        <w:jc w:val="right"/>
        <w:rPr>
          <w:rFonts w:ascii="Cambria" w:hAnsi="Cambria"/>
          <w:sz w:val="24"/>
          <w:szCs w:val="24"/>
        </w:rPr>
      </w:pPr>
    </w:p>
    <w:p>
      <w:pPr>
        <w:jc w:val="right"/>
        <w:rPr>
          <w:rFonts w:ascii="Cambria" w:hAnsi="Cambria"/>
          <w:sz w:val="24"/>
          <w:szCs w:val="24"/>
        </w:rPr>
      </w:pPr>
    </w:p>
    <w:p>
      <w:pPr>
        <w:jc w:val="right"/>
        <w:rPr>
          <w:rFonts w:ascii="Cambria" w:hAnsi="Cambria"/>
          <w:sz w:val="24"/>
          <w:szCs w:val="24"/>
        </w:rPr>
      </w:pPr>
    </w:p>
    <w:p>
      <w:pPr>
        <w:jc w:val="right"/>
        <w:rPr>
          <w:rFonts w:ascii="Cambria" w:hAnsi="Cambria"/>
          <w:sz w:val="24"/>
          <w:szCs w:val="24"/>
        </w:rPr>
      </w:pPr>
      <w:r>
        <w:rPr>
          <w:rFonts w:ascii="Cambria" w:hAnsi="Cambria"/>
          <w:sz w:val="24"/>
          <w:szCs w:val="24"/>
        </w:rPr>
        <w:t>Miraíma - CE, ____ de __________ de ______.</w:t>
      </w:r>
    </w:p>
    <w:p>
      <w:pPr>
        <w:jc w:val="both"/>
        <w:rPr>
          <w:rFonts w:ascii="Cambria" w:hAnsi="Cambria"/>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autoSpaceDE w:val="0"/>
              <w:autoSpaceDN w:val="0"/>
              <w:adjustRightInd w:val="0"/>
              <w:jc w:val="center"/>
              <w:rPr>
                <w:rFonts w:ascii="Cambria" w:hAnsi="Cambria"/>
                <w:iCs/>
                <w:sz w:val="24"/>
                <w:szCs w:val="24"/>
              </w:rPr>
            </w:pPr>
            <w:r>
              <w:rPr>
                <w:rFonts w:ascii="Cambria" w:hAnsi="Cambria"/>
                <w:bCs/>
                <w:sz w:val="24"/>
                <w:szCs w:val="24"/>
              </w:rPr>
              <w:t xml:space="preserve">Secretário(a) de </w:t>
            </w:r>
            <w:r>
              <w:rPr>
                <w:rFonts w:ascii="Cambria" w:hAnsi="Cambria"/>
                <w:iCs/>
                <w:sz w:val="24"/>
                <w:szCs w:val="24"/>
              </w:rPr>
              <w:t>_________</w:t>
            </w:r>
          </w:p>
          <w:p>
            <w:pPr>
              <w:pStyle w:val="WW-Corpodetexto3"/>
              <w:autoSpaceDE w:val="0"/>
              <w:spacing w:after="0"/>
              <w:jc w:val="center"/>
              <w:rPr>
                <w:rFonts w:ascii="Cambria" w:hAnsi="Cambria"/>
                <w:sz w:val="24"/>
                <w:szCs w:val="24"/>
                <w:lang w:eastAsia="pt-BR"/>
              </w:rPr>
            </w:pPr>
            <w:r>
              <w:rPr>
                <w:rFonts w:ascii="Cambria" w:hAnsi="Cambria"/>
                <w:sz w:val="24"/>
                <w:szCs w:val="24"/>
                <w:lang w:eastAsia="pt-BR"/>
              </w:rPr>
              <w:t>CONTRATANTE</w:t>
            </w:r>
          </w:p>
          <w:p>
            <w:pPr>
              <w:autoSpaceDE w:val="0"/>
              <w:autoSpaceDN w:val="0"/>
              <w:adjustRightInd w:val="0"/>
              <w:jc w:val="center"/>
              <w:rPr>
                <w:rFonts w:ascii="Cambria" w:hAnsi="Cambria"/>
                <w:spacing w:val="-4"/>
                <w:sz w:val="24"/>
                <w:szCs w:val="24"/>
              </w:rPr>
            </w:pPr>
          </w:p>
        </w:tc>
        <w:tc>
          <w:tcPr>
            <w:tcW w:w="5245" w:type="dxa"/>
          </w:tcPr>
          <w:p>
            <w:pPr>
              <w:jc w:val="center"/>
              <w:rPr>
                <w:rFonts w:ascii="Cambria" w:hAnsi="Cambria"/>
                <w:iCs/>
                <w:sz w:val="24"/>
                <w:szCs w:val="24"/>
              </w:rPr>
            </w:pPr>
            <w:r>
              <w:rPr>
                <w:rFonts w:ascii="Cambria" w:hAnsi="Cambria"/>
                <w:iCs/>
                <w:sz w:val="24"/>
                <w:szCs w:val="24"/>
              </w:rPr>
              <w:t xml:space="preserve">EMPRESA: </w:t>
            </w:r>
            <w:r>
              <w:rPr>
                <w:rFonts w:ascii="Cambria" w:hAnsi="Cambria"/>
                <w:sz w:val="24"/>
                <w:szCs w:val="24"/>
              </w:rPr>
              <w:t>______________</w:t>
            </w:r>
          </w:p>
          <w:p>
            <w:pPr>
              <w:jc w:val="center"/>
              <w:rPr>
                <w:rFonts w:ascii="Cambria" w:hAnsi="Cambria"/>
                <w:iCs/>
                <w:sz w:val="24"/>
                <w:szCs w:val="24"/>
              </w:rPr>
            </w:pPr>
            <w:r>
              <w:rPr>
                <w:rFonts w:ascii="Cambria" w:hAnsi="Cambria"/>
                <w:iCs/>
                <w:sz w:val="24"/>
                <w:szCs w:val="24"/>
              </w:rPr>
              <w:t xml:space="preserve">Sr(a). </w:t>
            </w:r>
            <w:r>
              <w:rPr>
                <w:rFonts w:ascii="Cambria" w:hAnsi="Cambria"/>
                <w:sz w:val="24"/>
                <w:szCs w:val="24"/>
              </w:rPr>
              <w:t>______________</w:t>
            </w:r>
          </w:p>
          <w:p>
            <w:pPr>
              <w:jc w:val="center"/>
              <w:rPr>
                <w:rFonts w:ascii="Cambria" w:hAnsi="Cambria"/>
                <w:spacing w:val="-4"/>
                <w:sz w:val="24"/>
                <w:szCs w:val="24"/>
              </w:rPr>
            </w:pPr>
            <w:r>
              <w:rPr>
                <w:rFonts w:ascii="Cambria" w:eastAsia="TimesNewRoman" w:hAnsi="Cambria"/>
                <w:sz w:val="24"/>
                <w:szCs w:val="24"/>
              </w:rPr>
              <w:t>CONTRATADA</w:t>
            </w:r>
          </w:p>
        </w:tc>
      </w:tr>
    </w:tbl>
    <w:p>
      <w:pPr>
        <w:rPr>
          <w:rFonts w:ascii="Cambria" w:hAnsi="Cambria"/>
          <w:b/>
          <w:bCs/>
          <w:sz w:val="24"/>
          <w:szCs w:val="24"/>
        </w:rPr>
      </w:pPr>
    </w:p>
    <w:p>
      <w:pPr>
        <w:rPr>
          <w:rFonts w:ascii="Cambria" w:hAnsi="Cambria"/>
          <w:b/>
          <w:sz w:val="24"/>
          <w:szCs w:val="24"/>
        </w:rPr>
      </w:pPr>
      <w:r>
        <w:rPr>
          <w:rFonts w:ascii="Cambria" w:hAnsi="Cambria"/>
          <w:b/>
          <w:sz w:val="24"/>
          <w:szCs w:val="24"/>
        </w:rPr>
        <w:t>TESTEMUNHAS:</w:t>
      </w:r>
    </w:p>
    <w:p>
      <w:pPr>
        <w:rPr>
          <w:rFonts w:ascii="Cambria" w:hAnsi="Cambria"/>
          <w:b/>
          <w:sz w:val="24"/>
          <w:szCs w:val="24"/>
        </w:rPr>
      </w:pPr>
    </w:p>
    <w:p>
      <w:pPr>
        <w:rPr>
          <w:rFonts w:ascii="Cambria" w:hAnsi="Cambria"/>
          <w:sz w:val="24"/>
          <w:szCs w:val="24"/>
        </w:rPr>
      </w:pPr>
      <w:r>
        <w:rPr>
          <w:rFonts w:ascii="Cambria" w:hAnsi="Cambria"/>
          <w:b/>
          <w:sz w:val="24"/>
          <w:szCs w:val="24"/>
        </w:rPr>
        <w:t>1</w:t>
      </w:r>
      <w:r>
        <w:rPr>
          <w:rFonts w:ascii="Cambria" w:hAnsi="Cambria"/>
          <w:sz w:val="24"/>
          <w:szCs w:val="24"/>
        </w:rPr>
        <w:t>.__________________________________________________ CPF nº __________________________</w:t>
      </w:r>
    </w:p>
    <w:p>
      <w:pPr>
        <w:rPr>
          <w:rFonts w:ascii="Cambria" w:hAnsi="Cambria"/>
          <w:b/>
          <w:sz w:val="24"/>
          <w:szCs w:val="24"/>
        </w:rPr>
      </w:pPr>
    </w:p>
    <w:p>
      <w:pPr>
        <w:rPr>
          <w:rFonts w:ascii="Cambria" w:hAnsi="Cambria"/>
          <w:sz w:val="24"/>
          <w:szCs w:val="24"/>
        </w:rPr>
      </w:pPr>
      <w:r>
        <w:rPr>
          <w:rFonts w:ascii="Cambria" w:hAnsi="Cambria"/>
          <w:b/>
          <w:sz w:val="24"/>
          <w:szCs w:val="24"/>
        </w:rPr>
        <w:t>2</w:t>
      </w:r>
      <w:r>
        <w:rPr>
          <w:rFonts w:ascii="Cambria" w:hAnsi="Cambria"/>
          <w:sz w:val="24"/>
          <w:szCs w:val="24"/>
        </w:rPr>
        <w:t>.__________________________________________________ CPF nº __________________________</w:t>
      </w:r>
    </w:p>
    <w:p>
      <w:pPr>
        <w:spacing w:after="160" w:line="259" w:lineRule="auto"/>
        <w:jc w:val="center"/>
        <w:rPr>
          <w:rFonts w:ascii="Cambria" w:hAnsi="Cambria"/>
          <w:b/>
          <w:bCs/>
          <w:sz w:val="24"/>
          <w:szCs w:val="24"/>
        </w:rPr>
      </w:pPr>
      <w:r>
        <w:rPr>
          <w:rFonts w:ascii="Cambria" w:hAnsi="Cambria"/>
          <w:sz w:val="24"/>
          <w:szCs w:val="24"/>
        </w:rPr>
        <w:br w:type="page"/>
      </w:r>
      <w:r>
        <w:rPr>
          <w:rFonts w:ascii="Cambria" w:hAnsi="Cambria"/>
          <w:b/>
          <w:bCs/>
          <w:sz w:val="24"/>
          <w:szCs w:val="24"/>
        </w:rPr>
        <w:lastRenderedPageBreak/>
        <w:t>AVISO DE PREGÃO ELETRÔNICO N° 90009/2026 - PE</w:t>
      </w:r>
    </w:p>
    <w:p>
      <w:pPr>
        <w:jc w:val="both"/>
        <w:rPr>
          <w:rFonts w:ascii="Cambria" w:hAnsi="Cambria"/>
          <w:sz w:val="24"/>
          <w:szCs w:val="24"/>
        </w:rPr>
      </w:pPr>
    </w:p>
    <w:p>
      <w:pPr>
        <w:jc w:val="both"/>
        <w:rPr>
          <w:rFonts w:ascii="Cambria" w:hAnsi="Cambria"/>
          <w:b/>
          <w:bCs/>
          <w:sz w:val="24"/>
          <w:szCs w:val="24"/>
          <w:u w:val="single"/>
        </w:rPr>
      </w:pPr>
      <w:r>
        <w:rPr>
          <w:rFonts w:ascii="Cambria" w:hAnsi="Cambria"/>
          <w:bCs/>
          <w:sz w:val="24"/>
          <w:szCs w:val="24"/>
        </w:rPr>
        <w:t xml:space="preserve">ESTADO DO CEARÁ – PREFEITURA MUNICIPAL DE MIRAÍMA – DIVERSAS SECRETARIAS – AVISO DE PREGÃO ELETRÔNICO N° 90009/2026 - PE. A Prefeitura Municipal de Miraíma/CE, por meio do agente de contratação, torna público que se encontra à disposição dos interessados o EDITAL DO PREGÃO ELETRÔNICO Nº. 90009/2026 - PE, que tem como objeto a </w:t>
      </w:r>
      <w:r>
        <w:rPr>
          <w:rFonts w:ascii="Cambria" w:hAnsi="Cambria"/>
          <w:b/>
          <w:bCs/>
          <w:sz w:val="24"/>
          <w:szCs w:val="24"/>
        </w:rPr>
        <w:t>LOCAÇÃO DE VEÍCULOS DESTINADOS AO ATENDIMENTO DAS NECESSIDADES DAS DIVERSAS SECRETARIAS DO MUNICÍPIO DE MIRAÍMA/CE</w:t>
      </w:r>
      <w:r>
        <w:rPr>
          <w:rFonts w:ascii="Cambria" w:hAnsi="Cambria"/>
          <w:bCs/>
          <w:sz w:val="24"/>
          <w:szCs w:val="24"/>
        </w:rPr>
        <w:t xml:space="preserve">. Esta licitação está sujeita às disposições da Lei Federal nº 14.133/2021. O Edital poderá ser obtido no site </w:t>
      </w:r>
      <w:bookmarkStart w:id="1" w:name="_Hlk160553837"/>
      <w:r>
        <w:rPr>
          <w:rFonts w:ascii="Cambria" w:hAnsi="Cambria"/>
          <w:bCs/>
          <w:sz w:val="24"/>
          <w:szCs w:val="24"/>
        </w:rPr>
        <w:t xml:space="preserve">do </w:t>
      </w:r>
      <w:bookmarkStart w:id="2" w:name="_Hlk160542504"/>
      <w:r>
        <w:rPr>
          <w:rFonts w:ascii="Cambria" w:hAnsi="Cambria"/>
          <w:bCs/>
          <w:sz w:val="24"/>
          <w:szCs w:val="24"/>
        </w:rPr>
        <w:t>portal de compras</w:t>
      </w:r>
      <w:bookmarkEnd w:id="1"/>
      <w:bookmarkEnd w:id="2"/>
      <w:r>
        <w:rPr>
          <w:rFonts w:ascii="Noto Sans" w:hAnsi="Noto Sans" w:cs="Noto Sans"/>
          <w:color w:val="333333"/>
          <w:sz w:val="21"/>
          <w:szCs w:val="21"/>
          <w:shd w:val="clear" w:color="auto" w:fill="FFFFFF"/>
        </w:rPr>
        <w:t xml:space="preserve"> </w:t>
      </w:r>
      <w:r>
        <w:rPr>
          <w:rFonts w:ascii="Cambria" w:hAnsi="Cambria"/>
          <w:bCs/>
          <w:sz w:val="24"/>
          <w:szCs w:val="24"/>
        </w:rPr>
        <w:t xml:space="preserve">www.compras.gov.br, através dos endereços eletrônicos: </w:t>
      </w:r>
      <w:bookmarkStart w:id="3" w:name="_Hlk160553940"/>
      <w:r>
        <w:rPr>
          <w:rFonts w:ascii="Cambria" w:hAnsi="Cambria"/>
          <w:sz w:val="24"/>
          <w:szCs w:val="24"/>
        </w:rPr>
        <w:fldChar w:fldCharType="begin"/>
      </w:r>
      <w:r>
        <w:rPr>
          <w:rFonts w:ascii="Cambria" w:hAnsi="Cambria"/>
          <w:sz w:val="24"/>
          <w:szCs w:val="24"/>
        </w:rPr>
        <w:instrText>HYPERLINK "https://www.miraima.ce.gov.br/"</w:instrText>
      </w:r>
      <w:r>
        <w:rPr>
          <w:rFonts w:ascii="Cambria" w:hAnsi="Cambria"/>
          <w:sz w:val="24"/>
          <w:szCs w:val="24"/>
        </w:rPr>
        <w:fldChar w:fldCharType="separate"/>
      </w:r>
      <w:r>
        <w:rPr>
          <w:rStyle w:val="Hyperlink"/>
          <w:rFonts w:ascii="Cambria" w:eastAsia="Calibri" w:hAnsi="Cambria"/>
          <w:sz w:val="24"/>
          <w:szCs w:val="24"/>
        </w:rPr>
        <w:t>https://www.miraima.ce.gov.br/</w:t>
      </w:r>
      <w:r>
        <w:rPr>
          <w:rFonts w:ascii="Cambria" w:hAnsi="Cambria"/>
          <w:sz w:val="24"/>
          <w:szCs w:val="24"/>
        </w:rPr>
        <w:fldChar w:fldCharType="end"/>
      </w:r>
      <w:bookmarkStart w:id="4" w:name="_Hlk154529662"/>
      <w:r>
        <w:rPr>
          <w:rFonts w:ascii="Cambria" w:hAnsi="Cambria"/>
          <w:bCs/>
          <w:sz w:val="24"/>
          <w:szCs w:val="24"/>
        </w:rPr>
        <w:t xml:space="preserve"> ou </w:t>
      </w:r>
      <w:hyperlink r:id="rId82" w:history="1">
        <w:r>
          <w:rPr>
            <w:rStyle w:val="Hyperlink"/>
            <w:rFonts w:ascii="Cambria" w:eastAsia="Calibri" w:hAnsi="Cambria"/>
            <w:sz w:val="24"/>
            <w:szCs w:val="24"/>
          </w:rPr>
          <w:t>https://municipios-licitacoes.tce.ce.gov.br/</w:t>
        </w:r>
      </w:hyperlink>
      <w:bookmarkEnd w:id="3"/>
      <w:bookmarkEnd w:id="4"/>
      <w:r>
        <w:rPr>
          <w:rFonts w:ascii="Cambria" w:hAnsi="Cambria"/>
          <w:sz w:val="24"/>
          <w:szCs w:val="24"/>
        </w:rPr>
        <w:t xml:space="preserve">. </w:t>
      </w:r>
      <w:r>
        <w:rPr>
          <w:rFonts w:ascii="Cambria" w:hAnsi="Cambria"/>
          <w:bCs/>
          <w:sz w:val="24"/>
          <w:szCs w:val="24"/>
        </w:rPr>
        <w:t xml:space="preserve"> O recebimento das propostas através do site do portal de compras </w:t>
      </w:r>
      <w:hyperlink r:id="rId83" w:history="1">
        <w:r>
          <w:rPr>
            <w:rStyle w:val="Hyperlink"/>
            <w:rFonts w:ascii="Cambria" w:eastAsia="Calibri" w:hAnsi="Cambria"/>
            <w:bCs/>
            <w:sz w:val="24"/>
            <w:szCs w:val="24"/>
          </w:rPr>
          <w:t>www.compras.gov.br</w:t>
        </w:r>
      </w:hyperlink>
      <w:r>
        <w:rPr>
          <w:rFonts w:ascii="Cambria" w:hAnsi="Cambria"/>
          <w:bCs/>
          <w:sz w:val="24"/>
          <w:szCs w:val="24"/>
        </w:rPr>
        <w:t xml:space="preserve"> dar-se-á até </w:t>
      </w:r>
      <w:r>
        <w:rPr>
          <w:rFonts w:ascii="Cambria" w:hAnsi="Cambria"/>
          <w:color w:val="000000"/>
          <w:sz w:val="24"/>
          <w:szCs w:val="24"/>
          <w:shd w:val="clear" w:color="auto" w:fill="FFFFFF"/>
        </w:rPr>
        <w:t>o dia </w:t>
      </w:r>
      <w:r>
        <w:rPr>
          <w:rFonts w:ascii="Cambria" w:hAnsi="Cambria"/>
          <w:b/>
          <w:bCs/>
          <w:color w:val="000000"/>
          <w:sz w:val="24"/>
          <w:szCs w:val="24"/>
          <w:shd w:val="clear" w:color="auto" w:fill="FFFFFF"/>
        </w:rPr>
        <w:t>2</w:t>
      </w:r>
      <w:r>
        <w:rPr>
          <w:rFonts w:ascii="Cambria" w:hAnsi="Cambria"/>
          <w:b/>
          <w:bCs/>
          <w:color w:val="000000"/>
          <w:sz w:val="24"/>
          <w:szCs w:val="24"/>
          <w:shd w:val="clear" w:color="auto" w:fill="FFFFFF"/>
        </w:rPr>
        <w:t>5</w:t>
      </w:r>
      <w:r>
        <w:rPr>
          <w:rFonts w:ascii="Cambria" w:hAnsi="Cambria"/>
          <w:b/>
          <w:bCs/>
          <w:color w:val="000000"/>
          <w:sz w:val="24"/>
          <w:szCs w:val="24"/>
          <w:shd w:val="clear" w:color="auto" w:fill="FFFFFF"/>
        </w:rPr>
        <w:t>/06/2026</w:t>
      </w:r>
      <w:r>
        <w:rPr>
          <w:rFonts w:ascii="Cambria" w:hAnsi="Cambria"/>
          <w:color w:val="000000"/>
          <w:sz w:val="24"/>
          <w:szCs w:val="24"/>
          <w:shd w:val="clear" w:color="auto" w:fill="FFFFFF"/>
        </w:rPr>
        <w:t>, às </w:t>
      </w:r>
      <w:r>
        <w:rPr>
          <w:rFonts w:ascii="Cambria" w:hAnsi="Cambria"/>
          <w:b/>
          <w:bCs/>
          <w:color w:val="000000"/>
          <w:sz w:val="24"/>
          <w:szCs w:val="24"/>
          <w:shd w:val="clear" w:color="auto" w:fill="FFFFFF"/>
        </w:rPr>
        <w:t>08h59min</w:t>
      </w:r>
      <w:r>
        <w:rPr>
          <w:rFonts w:ascii="Cambria" w:hAnsi="Cambria"/>
          <w:color w:val="000000"/>
          <w:sz w:val="24"/>
          <w:szCs w:val="24"/>
          <w:shd w:val="clear" w:color="auto" w:fill="FFFFFF"/>
        </w:rPr>
        <w:t> </w:t>
      </w:r>
      <w:r>
        <w:rPr>
          <w:rFonts w:ascii="Cambria" w:hAnsi="Cambria"/>
          <w:b/>
          <w:bCs/>
          <w:color w:val="000000"/>
          <w:sz w:val="24"/>
          <w:szCs w:val="24"/>
          <w:shd w:val="clear" w:color="auto" w:fill="FFFFFF"/>
        </w:rPr>
        <w:t>(horário de Brasília);</w:t>
      </w:r>
      <w:r>
        <w:rPr>
          <w:rFonts w:ascii="Cambria" w:hAnsi="Cambria"/>
          <w:color w:val="000000"/>
          <w:sz w:val="24"/>
          <w:szCs w:val="24"/>
          <w:shd w:val="clear" w:color="auto" w:fill="FFFFFF"/>
        </w:rPr>
        <w:t> Abertura das Propostas no dia </w:t>
      </w:r>
      <w:r>
        <w:rPr>
          <w:rFonts w:ascii="Cambria" w:hAnsi="Cambria"/>
          <w:b/>
          <w:bCs/>
          <w:color w:val="000000"/>
          <w:sz w:val="24"/>
          <w:szCs w:val="24"/>
          <w:shd w:val="clear" w:color="auto" w:fill="FFFFFF"/>
        </w:rPr>
        <w:t>2</w:t>
      </w:r>
      <w:r>
        <w:rPr>
          <w:rFonts w:ascii="Cambria" w:hAnsi="Cambria"/>
          <w:b/>
          <w:bCs/>
          <w:color w:val="000000"/>
          <w:sz w:val="24"/>
          <w:szCs w:val="24"/>
          <w:shd w:val="clear" w:color="auto" w:fill="FFFFFF"/>
        </w:rPr>
        <w:t>5</w:t>
      </w:r>
      <w:r>
        <w:rPr>
          <w:rFonts w:ascii="Cambria" w:hAnsi="Cambria"/>
          <w:b/>
          <w:bCs/>
          <w:color w:val="000000"/>
          <w:sz w:val="24"/>
          <w:szCs w:val="24"/>
          <w:shd w:val="clear" w:color="auto" w:fill="FFFFFF"/>
        </w:rPr>
        <w:t>/06/2026</w:t>
      </w:r>
      <w:r>
        <w:rPr>
          <w:rFonts w:ascii="Cambria" w:hAnsi="Cambria"/>
          <w:color w:val="000000"/>
          <w:sz w:val="24"/>
          <w:szCs w:val="24"/>
          <w:shd w:val="clear" w:color="auto" w:fill="FFFFFF"/>
        </w:rPr>
        <w:t>, a partir das </w:t>
      </w:r>
      <w:r>
        <w:rPr>
          <w:rFonts w:ascii="Cambria" w:hAnsi="Cambria"/>
          <w:b/>
          <w:bCs/>
          <w:color w:val="000000"/>
          <w:sz w:val="24"/>
          <w:szCs w:val="24"/>
          <w:shd w:val="clear" w:color="auto" w:fill="FFFFFF"/>
        </w:rPr>
        <w:t>09h00min (horário de Brasília)</w:t>
      </w:r>
      <w:r>
        <w:rPr>
          <w:rFonts w:ascii="Cambria" w:hAnsi="Cambria"/>
          <w:color w:val="000000"/>
          <w:sz w:val="24"/>
          <w:szCs w:val="24"/>
          <w:shd w:val="clear" w:color="auto" w:fill="FFFFFF"/>
        </w:rPr>
        <w:t> e a fase da Disputa de Lances no dia </w:t>
      </w:r>
      <w:r>
        <w:rPr>
          <w:rFonts w:ascii="Cambria" w:hAnsi="Cambria"/>
          <w:b/>
          <w:bCs/>
          <w:color w:val="000000"/>
          <w:sz w:val="24"/>
          <w:szCs w:val="24"/>
          <w:shd w:val="clear" w:color="auto" w:fill="FFFFFF"/>
        </w:rPr>
        <w:t>2</w:t>
      </w:r>
      <w:r>
        <w:rPr>
          <w:rFonts w:ascii="Cambria" w:hAnsi="Cambria"/>
          <w:b/>
          <w:bCs/>
          <w:color w:val="000000"/>
          <w:sz w:val="24"/>
          <w:szCs w:val="24"/>
          <w:shd w:val="clear" w:color="auto" w:fill="FFFFFF"/>
        </w:rPr>
        <w:t>5</w:t>
      </w:r>
      <w:r>
        <w:rPr>
          <w:rFonts w:ascii="Cambria" w:hAnsi="Cambria"/>
          <w:b/>
          <w:bCs/>
          <w:color w:val="000000"/>
          <w:sz w:val="24"/>
          <w:szCs w:val="24"/>
          <w:shd w:val="clear" w:color="auto" w:fill="FFFFFF"/>
        </w:rPr>
        <w:t xml:space="preserve">/06/2026 </w:t>
      </w:r>
      <w:r>
        <w:rPr>
          <w:rFonts w:ascii="Cambria" w:hAnsi="Cambria"/>
          <w:color w:val="000000"/>
          <w:sz w:val="24"/>
          <w:szCs w:val="24"/>
          <w:shd w:val="clear" w:color="auto" w:fill="FFFFFF"/>
        </w:rPr>
        <w:t>a partir das </w:t>
      </w:r>
      <w:r>
        <w:rPr>
          <w:rFonts w:ascii="Cambria" w:hAnsi="Cambria"/>
          <w:b/>
          <w:bCs/>
          <w:color w:val="000000"/>
          <w:sz w:val="24"/>
          <w:szCs w:val="24"/>
          <w:shd w:val="clear" w:color="auto" w:fill="FFFFFF"/>
        </w:rPr>
        <w:t>09h00min (horário de Brasília)</w:t>
      </w:r>
      <w:r>
        <w:rPr>
          <w:rFonts w:ascii="Cambria" w:hAnsi="Cambria"/>
          <w:bCs/>
          <w:sz w:val="24"/>
          <w:szCs w:val="24"/>
        </w:rPr>
        <w:t>. Solicitações de esclarecimento acerca do edital deverão ser enviadas ao endereço eletrônico de e-mail: licitação@miraima.ce.gov.br. Miraíma/CE, 09 de Junho</w:t>
      </w:r>
      <w:r>
        <w:rPr>
          <w:rFonts w:ascii="Cambria" w:hAnsi="Cambria"/>
          <w:sz w:val="24"/>
          <w:szCs w:val="24"/>
        </w:rPr>
        <w:t xml:space="preserve"> de 2026. </w:t>
      </w:r>
      <w:r>
        <w:rPr>
          <w:rFonts w:ascii="Cambria" w:hAnsi="Cambria"/>
          <w:bCs/>
          <w:sz w:val="24"/>
          <w:szCs w:val="24"/>
        </w:rPr>
        <w:t>ANTÔNIO ROBSON ALVES DOS SANTOS, Pregoeiro da Prefeitura Municipal de Miraíma/CE</w:t>
      </w:r>
      <w:r>
        <w:rPr>
          <w:rFonts w:ascii="Cambria" w:hAnsi="Cambria"/>
          <w:sz w:val="24"/>
          <w:szCs w:val="24"/>
        </w:rPr>
        <w:t>.</w:t>
      </w:r>
    </w:p>
    <w:p>
      <w:pPr>
        <w:pStyle w:val="PargrafodaLista"/>
        <w:tabs>
          <w:tab w:val="left" w:pos="426"/>
          <w:tab w:val="left" w:pos="2525"/>
          <w:tab w:val="center" w:pos="4873"/>
        </w:tabs>
        <w:ind w:left="0" w:firstLine="851"/>
        <w:rPr>
          <w:rFonts w:ascii="Cambria" w:hAnsi="Cambria"/>
          <w:bCs/>
          <w:sz w:val="24"/>
          <w:szCs w:val="24"/>
        </w:rPr>
      </w:pPr>
    </w:p>
    <w:p>
      <w:pPr>
        <w:jc w:val="both"/>
        <w:rPr>
          <w:rFonts w:ascii="Cambria" w:hAnsi="Cambria"/>
          <w:sz w:val="24"/>
          <w:szCs w:val="24"/>
          <w:highlight w:val="yellow"/>
        </w:rPr>
      </w:pPr>
    </w:p>
    <w:p>
      <w:pPr>
        <w:jc w:val="center"/>
        <w:rPr>
          <w:rFonts w:ascii="Cambria" w:hAnsi="Cambria"/>
          <w:sz w:val="24"/>
          <w:szCs w:val="24"/>
          <w:highlight w:val="yellow"/>
        </w:rPr>
      </w:pPr>
    </w:p>
    <w:p>
      <w:pPr>
        <w:pStyle w:val="PargrafodaLista"/>
        <w:tabs>
          <w:tab w:val="left" w:pos="0"/>
          <w:tab w:val="left" w:pos="426"/>
          <w:tab w:val="left" w:pos="567"/>
        </w:tabs>
        <w:spacing w:after="0"/>
        <w:ind w:left="0"/>
        <w:jc w:val="center"/>
        <w:rPr>
          <w:rFonts w:ascii="Cambria" w:hAnsi="Cambria"/>
          <w:b/>
          <w:sz w:val="24"/>
          <w:szCs w:val="24"/>
        </w:rPr>
      </w:pPr>
      <w:r>
        <w:rPr>
          <w:rFonts w:ascii="Cambria" w:hAnsi="Cambria"/>
          <w:b/>
          <w:sz w:val="24"/>
          <w:szCs w:val="24"/>
        </w:rPr>
        <w:t>ANTÔNIO ROBSON ALVES DOS SANTOS</w:t>
      </w:r>
    </w:p>
    <w:p>
      <w:pPr>
        <w:spacing w:line="259" w:lineRule="auto"/>
        <w:jc w:val="center"/>
        <w:rPr>
          <w:rFonts w:ascii="Cambria" w:hAnsi="Cambria"/>
          <w:sz w:val="24"/>
          <w:szCs w:val="24"/>
        </w:rPr>
      </w:pPr>
      <w:r>
        <w:rPr>
          <w:rFonts w:ascii="Cambria" w:hAnsi="Cambria"/>
          <w:sz w:val="24"/>
          <w:szCs w:val="24"/>
        </w:rPr>
        <w:t>Pregoeiro da Prefeitura Municipal de Miraíma/CE</w:t>
      </w:r>
    </w:p>
    <w:p/>
    <w:sectPr>
      <w:headerReference w:type="default" r:id="rId84"/>
      <w:footerReference w:type="default" r:id="rId85"/>
      <w:pgSz w:w="11906" w:h="16838"/>
      <w:pgMar w:top="2268" w:right="1418" w:bottom="1588" w:left="1418" w:header="425"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Ecofont_Spranq_eco_Sans">
    <w:altName w:val="Cambria"/>
    <w:charset w:val="00"/>
    <w:family w:val="swiss"/>
    <w:pitch w:val="variable"/>
    <w:sig w:usb0="800000AF" w:usb1="1000204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ahoma-Bold">
    <w:altName w:val="Arial"/>
    <w:charset w:val="00"/>
    <w:family w:val="swiss"/>
    <w:pitch w:val="default"/>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tham Bold">
    <w:charset w:val="00"/>
    <w:family w:val="auto"/>
    <w:pitch w:val="variable"/>
    <w:sig w:usb0="800000AF" w:usb1="40000048" w:usb2="00000000" w:usb3="00000000" w:csb0="00000111" w:csb1="00000000"/>
  </w:font>
  <w:font w:name="TimesNewRoman">
    <w:altName w:val="Times New Roman"/>
    <w:charset w:val="00"/>
    <w:family w:val="roman"/>
    <w:pitch w:val="default"/>
  </w:font>
  <w:font w:name="Noto Sans">
    <w:altName w:val="Arial"/>
    <w:charset w:val="00"/>
    <w:family w:val="swiss"/>
    <w:pitch w:val="variable"/>
    <w:sig w:usb0="00000001" w:usb1="400078FF"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3457844"/>
      <w:docPartObj>
        <w:docPartGallery w:val="Page Numbers (Bottom of Page)"/>
        <w:docPartUnique/>
      </w:docPartObj>
    </w:sdtPr>
    <w:sdtContent>
      <w:sdt>
        <w:sdtPr>
          <w:id w:val="1237895264"/>
          <w:docPartObj>
            <w:docPartGallery w:val="Page Numbers (Top of Page)"/>
            <w:docPartUnique/>
          </w:docPartObj>
        </w:sdtPr>
        <w:sdtContent>
          <w:sdt>
            <w:sdtPr>
              <w:rPr>
                <w:sz w:val="18"/>
              </w:rPr>
              <w:id w:val="1986578268"/>
              <w:docPartObj>
                <w:docPartGallery w:val="Page Numbers (Top of Page)"/>
                <w:docPartUnique/>
              </w:docPartObj>
            </w:sdtPr>
            <w:sdtContent>
              <w:p>
                <w:pPr>
                  <w:pStyle w:val="Rodap"/>
                  <w:jc w:val="center"/>
                  <w:rPr>
                    <w:szCs w:val="22"/>
                  </w:rPr>
                </w:pPr>
                <w:r>
                  <w:rPr>
                    <w:noProof/>
                    <w:sz w:val="18"/>
                    <w:lang w:eastAsia="pt-BR"/>
                    <w14:ligatures w14:val="standardContextual"/>
                  </w:rPr>
                  <w:drawing>
                    <wp:anchor distT="0" distB="0" distL="114300" distR="114300" simplePos="0" relativeHeight="2516613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1" name="Imagem 61"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233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2" name="Imagem 62"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3360"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63" name="Imagem 6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rPr>
                  <w:t>Esplanada da Estação, 433 – Centro – Miraíma – CE</w:t>
                </w:r>
              </w:p>
              <w:p>
                <w:pPr>
                  <w:pStyle w:val="Rodap"/>
                  <w:jc w:val="center"/>
                  <w:rPr>
                    <w:szCs w:val="22"/>
                  </w:rPr>
                </w:pPr>
                <w:r>
                  <w:rPr>
                    <w:szCs w:val="22"/>
                  </w:rPr>
                  <w:t xml:space="preserve">Telefone: 88 36301167 – E-mail: </w:t>
                </w:r>
                <w:hyperlink r:id="rId3" w:history="1">
                  <w:r>
                    <w:rPr>
                      <w:rStyle w:val="Hyperlink"/>
                      <w:szCs w:val="22"/>
                    </w:rPr>
                    <w:t>gabinete@miraima.ce.gov.br</w:t>
                  </w:r>
                </w:hyperlink>
                <w:r>
                  <w:rPr>
                    <w:szCs w:val="22"/>
                  </w:rPr>
                  <w:t xml:space="preserve"> </w:t>
                </w:r>
              </w:p>
              <w:p>
                <w:pPr>
                  <w:pStyle w:val="Rodap"/>
                  <w:jc w:val="center"/>
                  <w:rPr>
                    <w:b/>
                    <w:bCs/>
                    <w:sz w:val="22"/>
                    <w:szCs w:val="24"/>
                  </w:rPr>
                </w:pPr>
                <w:r>
                  <w:rPr>
                    <w:b/>
                    <w:szCs w:val="22"/>
                  </w:rPr>
                  <w:t>CNPJ/MF</w:t>
                </w:r>
                <w:r>
                  <w:rPr>
                    <w:szCs w:val="22"/>
                  </w:rPr>
                  <w:t xml:space="preserve"> nº 10.517.563/0001-05 - </w:t>
                </w:r>
                <w:r>
                  <w:rPr>
                    <w:b/>
                    <w:szCs w:val="22"/>
                  </w:rPr>
                  <w:t>CGF nº</w:t>
                </w:r>
                <w:r>
                  <w:rPr>
                    <w:szCs w:val="22"/>
                  </w:rPr>
                  <w:t xml:space="preserve"> 06.920.294-0</w:t>
                </w:r>
                <w:r>
                  <w:rPr>
                    <w:noProof/>
                    <w:sz w:val="18"/>
                    <w:lang w:eastAsia="pt-BR"/>
                  </w:rPr>
                  <w:drawing>
                    <wp:anchor distT="0" distB="0" distL="114300" distR="114300" simplePos="0" relativeHeight="25166028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556228992" name="Imagem 55622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59264"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556228993" name="Imagem 55622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ind w:left="-1560"/>
      <w:jc w:val="center"/>
      <w:rPr>
        <w:b/>
        <w:noProof/>
        <w:color w:val="333399"/>
        <w:sz w:val="26"/>
        <w:szCs w:val="26"/>
      </w:rPr>
    </w:pPr>
    <w:r>
      <w:rPr>
        <w:noProof/>
        <w:lang w:eastAsia="pt-BR"/>
      </w:rPr>
      <w:drawing>
        <wp:anchor distT="0" distB="0" distL="114300" distR="114300" simplePos="0" relativeHeight="251665408" behindDoc="1" locked="0" layoutInCell="1" allowOverlap="1">
          <wp:simplePos x="0" y="0"/>
          <wp:positionH relativeFrom="column">
            <wp:posOffset>5149215</wp:posOffset>
          </wp:positionH>
          <wp:positionV relativeFrom="paragraph">
            <wp:posOffset>43815</wp:posOffset>
          </wp:positionV>
          <wp:extent cx="962025" cy="1028700"/>
          <wp:effectExtent l="0" t="0" r="9525" b="0"/>
          <wp:wrapTight wrapText="bothSides">
            <wp:wrapPolygon edited="0">
              <wp:start x="7271" y="0"/>
              <wp:lineTo x="5133" y="800"/>
              <wp:lineTo x="0" y="5600"/>
              <wp:lineTo x="0" y="14000"/>
              <wp:lineTo x="4277" y="19200"/>
              <wp:lineTo x="9410" y="21200"/>
              <wp:lineTo x="12404" y="21200"/>
              <wp:lineTo x="17109" y="19200"/>
              <wp:lineTo x="21386" y="14000"/>
              <wp:lineTo x="21386" y="5200"/>
              <wp:lineTo x="17109" y="1200"/>
              <wp:lineTo x="14115" y="0"/>
              <wp:lineTo x="7271" y="0"/>
            </wp:wrapPolygon>
          </wp:wrapTight>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2025" cy="1028700"/>
                  </a:xfrm>
                  <a:prstGeom prst="rect">
                    <a:avLst/>
                  </a:prstGeom>
                  <a:noFill/>
                </pic:spPr>
              </pic:pic>
            </a:graphicData>
          </a:graphic>
        </wp:anchor>
      </w:drawing>
    </w:r>
    <w:r>
      <w:rPr>
        <w:b/>
        <w:noProof/>
        <w:color w:val="333399"/>
        <w:sz w:val="26"/>
        <w:szCs w:val="26"/>
        <w:lang w:eastAsia="pt-BR"/>
        <w14:ligatures w14:val="standardContextual"/>
      </w:rPr>
      <w:drawing>
        <wp:anchor distT="0" distB="0" distL="114300" distR="114300" simplePos="0" relativeHeight="251664384" behindDoc="0" locked="0" layoutInCell="1" allowOverlap="1">
          <wp:simplePos x="0" y="0"/>
          <wp:positionH relativeFrom="page">
            <wp:align>center</wp:align>
          </wp:positionH>
          <wp:positionV relativeFrom="paragraph">
            <wp:posOffset>-266700</wp:posOffset>
          </wp:positionV>
          <wp:extent cx="1813560" cy="1587500"/>
          <wp:effectExtent l="0" t="0" r="0" b="0"/>
          <wp:wrapThrough wrapText="bothSides">
            <wp:wrapPolygon edited="0">
              <wp:start x="10210" y="2592"/>
              <wp:lineTo x="7034" y="4666"/>
              <wp:lineTo x="5445" y="5962"/>
              <wp:lineTo x="5445" y="11405"/>
              <wp:lineTo x="2496" y="12960"/>
              <wp:lineTo x="1815" y="13997"/>
              <wp:lineTo x="1815" y="17366"/>
              <wp:lineTo x="19513" y="17366"/>
              <wp:lineTo x="19286" y="15552"/>
              <wp:lineTo x="16109" y="11405"/>
              <wp:lineTo x="15882" y="5443"/>
              <wp:lineTo x="14748" y="4406"/>
              <wp:lineTo x="11118" y="2592"/>
              <wp:lineTo x="10210" y="2592"/>
            </wp:wrapPolygon>
          </wp:wrapThrough>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6635400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13560" cy="1587500"/>
                  </a:xfrm>
                  <a:prstGeom prst="rect">
                    <a:avLst/>
                  </a:prstGeom>
                  <a:noFill/>
                  <a:ln>
                    <a:noFill/>
                  </a:ln>
                </pic:spPr>
              </pic:pic>
            </a:graphicData>
          </a:graphic>
          <wp14:sizeRelH relativeFrom="margin">
            <wp14:pctWidth>0</wp14:pctWidth>
          </wp14:sizeRelH>
          <wp14:sizeRelV relativeFrom="margin">
            <wp14:pctHeight>0</wp14:pctHeight>
          </wp14:sizeRelV>
        </wp:anchor>
      </w:drawing>
    </w: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A0FC84B4"/>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00AF69CE"/>
    <w:multiLevelType w:val="hybridMultilevel"/>
    <w:tmpl w:val="F15E2ED6"/>
    <w:lvl w:ilvl="0" w:tplc="460A76C4">
      <w:start w:val="1"/>
      <w:numFmt w:val="lowerLetter"/>
      <w:lvlText w:val="%1)"/>
      <w:lvlJc w:val="left"/>
      <w:pPr>
        <w:ind w:left="720" w:hanging="360"/>
      </w:pPr>
      <w:rPr>
        <w:b/>
        <w:bCs/>
      </w:rPr>
    </w:lvl>
    <w:lvl w:ilvl="1" w:tplc="D69A7B2E">
      <w:start w:val="1"/>
      <w:numFmt w:val="lowerLetter"/>
      <w:lvlText w:val="%2."/>
      <w:lvlJc w:val="left"/>
      <w:pPr>
        <w:ind w:left="1440" w:hanging="360"/>
      </w:pPr>
    </w:lvl>
    <w:lvl w:ilvl="2" w:tplc="2982A702">
      <w:start w:val="1"/>
      <w:numFmt w:val="lowerRoman"/>
      <w:lvlText w:val="%3."/>
      <w:lvlJc w:val="right"/>
      <w:pPr>
        <w:ind w:left="2160" w:hanging="180"/>
      </w:pPr>
    </w:lvl>
    <w:lvl w:ilvl="3" w:tplc="68F880FC" w:tentative="1">
      <w:start w:val="1"/>
      <w:numFmt w:val="decimal"/>
      <w:lvlText w:val="%4."/>
      <w:lvlJc w:val="left"/>
      <w:pPr>
        <w:ind w:left="2880" w:hanging="360"/>
      </w:pPr>
    </w:lvl>
    <w:lvl w:ilvl="4" w:tplc="B964A9F2" w:tentative="1">
      <w:start w:val="1"/>
      <w:numFmt w:val="lowerLetter"/>
      <w:lvlText w:val="%5."/>
      <w:lvlJc w:val="left"/>
      <w:pPr>
        <w:ind w:left="3600" w:hanging="360"/>
      </w:pPr>
    </w:lvl>
    <w:lvl w:ilvl="5" w:tplc="4FD8608C" w:tentative="1">
      <w:start w:val="1"/>
      <w:numFmt w:val="lowerRoman"/>
      <w:lvlText w:val="%6."/>
      <w:lvlJc w:val="right"/>
      <w:pPr>
        <w:ind w:left="4320" w:hanging="180"/>
      </w:pPr>
    </w:lvl>
    <w:lvl w:ilvl="6" w:tplc="48B47C12" w:tentative="1">
      <w:start w:val="1"/>
      <w:numFmt w:val="decimal"/>
      <w:lvlText w:val="%7."/>
      <w:lvlJc w:val="left"/>
      <w:pPr>
        <w:ind w:left="5040" w:hanging="360"/>
      </w:pPr>
    </w:lvl>
    <w:lvl w:ilvl="7" w:tplc="46383212" w:tentative="1">
      <w:start w:val="1"/>
      <w:numFmt w:val="lowerLetter"/>
      <w:lvlText w:val="%8."/>
      <w:lvlJc w:val="left"/>
      <w:pPr>
        <w:ind w:left="5760" w:hanging="360"/>
      </w:pPr>
    </w:lvl>
    <w:lvl w:ilvl="8" w:tplc="52921696" w:tentative="1">
      <w:start w:val="1"/>
      <w:numFmt w:val="lowerRoman"/>
      <w:lvlText w:val="%9."/>
      <w:lvlJc w:val="right"/>
      <w:pPr>
        <w:ind w:left="6480" w:hanging="180"/>
      </w:pPr>
    </w:lvl>
  </w:abstractNum>
  <w:abstractNum w:abstractNumId="2">
    <w:nsid w:val="020B1814"/>
    <w:multiLevelType w:val="multilevel"/>
    <w:tmpl w:val="BFDCF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2187267"/>
    <w:multiLevelType w:val="hybridMultilevel"/>
    <w:tmpl w:val="5C102600"/>
    <w:lvl w:ilvl="0" w:tplc="04160011">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41D7C36"/>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76B540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07C12D18"/>
    <w:multiLevelType w:val="hybridMultilevel"/>
    <w:tmpl w:val="7DCC8EDC"/>
    <w:lvl w:ilvl="0" w:tplc="A73663B8">
      <w:start w:val="1"/>
      <w:numFmt w:val="bullet"/>
      <w:lvlText w:val=""/>
      <w:lvlJc w:val="left"/>
      <w:pPr>
        <w:ind w:left="720" w:hanging="360"/>
      </w:pPr>
      <w:rPr>
        <w:rFonts w:ascii="Wingdings" w:hAnsi="Wingdings" w:hint="default"/>
      </w:rPr>
    </w:lvl>
    <w:lvl w:ilvl="1" w:tplc="0ACC961A" w:tentative="1">
      <w:start w:val="1"/>
      <w:numFmt w:val="bullet"/>
      <w:lvlText w:val="o"/>
      <w:lvlJc w:val="left"/>
      <w:pPr>
        <w:ind w:left="1440" w:hanging="360"/>
      </w:pPr>
      <w:rPr>
        <w:rFonts w:ascii="Courier New" w:hAnsi="Courier New" w:cs="Courier New" w:hint="default"/>
      </w:rPr>
    </w:lvl>
    <w:lvl w:ilvl="2" w:tplc="DBDAC508" w:tentative="1">
      <w:start w:val="1"/>
      <w:numFmt w:val="bullet"/>
      <w:lvlText w:val=""/>
      <w:lvlJc w:val="left"/>
      <w:pPr>
        <w:ind w:left="2160" w:hanging="360"/>
      </w:pPr>
      <w:rPr>
        <w:rFonts w:ascii="Wingdings" w:hAnsi="Wingdings" w:hint="default"/>
      </w:rPr>
    </w:lvl>
    <w:lvl w:ilvl="3" w:tplc="41B09168" w:tentative="1">
      <w:start w:val="1"/>
      <w:numFmt w:val="bullet"/>
      <w:lvlText w:val=""/>
      <w:lvlJc w:val="left"/>
      <w:pPr>
        <w:ind w:left="2880" w:hanging="360"/>
      </w:pPr>
      <w:rPr>
        <w:rFonts w:ascii="Symbol" w:hAnsi="Symbol" w:hint="default"/>
      </w:rPr>
    </w:lvl>
    <w:lvl w:ilvl="4" w:tplc="C448BA10" w:tentative="1">
      <w:start w:val="1"/>
      <w:numFmt w:val="bullet"/>
      <w:lvlText w:val="o"/>
      <w:lvlJc w:val="left"/>
      <w:pPr>
        <w:ind w:left="3600" w:hanging="360"/>
      </w:pPr>
      <w:rPr>
        <w:rFonts w:ascii="Courier New" w:hAnsi="Courier New" w:cs="Courier New" w:hint="default"/>
      </w:rPr>
    </w:lvl>
    <w:lvl w:ilvl="5" w:tplc="8F7E64B4" w:tentative="1">
      <w:start w:val="1"/>
      <w:numFmt w:val="bullet"/>
      <w:lvlText w:val=""/>
      <w:lvlJc w:val="left"/>
      <w:pPr>
        <w:ind w:left="4320" w:hanging="360"/>
      </w:pPr>
      <w:rPr>
        <w:rFonts w:ascii="Wingdings" w:hAnsi="Wingdings" w:hint="default"/>
      </w:rPr>
    </w:lvl>
    <w:lvl w:ilvl="6" w:tplc="C958C500" w:tentative="1">
      <w:start w:val="1"/>
      <w:numFmt w:val="bullet"/>
      <w:lvlText w:val=""/>
      <w:lvlJc w:val="left"/>
      <w:pPr>
        <w:ind w:left="5040" w:hanging="360"/>
      </w:pPr>
      <w:rPr>
        <w:rFonts w:ascii="Symbol" w:hAnsi="Symbol" w:hint="default"/>
      </w:rPr>
    </w:lvl>
    <w:lvl w:ilvl="7" w:tplc="245C5D00" w:tentative="1">
      <w:start w:val="1"/>
      <w:numFmt w:val="bullet"/>
      <w:lvlText w:val="o"/>
      <w:lvlJc w:val="left"/>
      <w:pPr>
        <w:ind w:left="5760" w:hanging="360"/>
      </w:pPr>
      <w:rPr>
        <w:rFonts w:ascii="Courier New" w:hAnsi="Courier New" w:cs="Courier New" w:hint="default"/>
      </w:rPr>
    </w:lvl>
    <w:lvl w:ilvl="8" w:tplc="5F4AFD18" w:tentative="1">
      <w:start w:val="1"/>
      <w:numFmt w:val="bullet"/>
      <w:lvlText w:val=""/>
      <w:lvlJc w:val="left"/>
      <w:pPr>
        <w:ind w:left="6480" w:hanging="360"/>
      </w:pPr>
      <w:rPr>
        <w:rFonts w:ascii="Wingdings" w:hAnsi="Wingdings" w:hint="default"/>
      </w:rPr>
    </w:lvl>
  </w:abstractNum>
  <w:abstractNum w:abstractNumId="7">
    <w:nsid w:val="095D64A2"/>
    <w:multiLevelType w:val="hybridMultilevel"/>
    <w:tmpl w:val="AABA4E80"/>
    <w:lvl w:ilvl="0" w:tplc="04160005">
      <w:start w:val="1"/>
      <w:numFmt w:val="bullet"/>
      <w:lvlText w:val=""/>
      <w:lvlJc w:val="left"/>
      <w:pPr>
        <w:ind w:left="720" w:hanging="360"/>
      </w:pPr>
      <w:rPr>
        <w:rFonts w:ascii="Wingdings" w:hAnsi="Wingdings" w:hint="default"/>
        <w:b/>
      </w:rPr>
    </w:lvl>
    <w:lvl w:ilvl="1" w:tplc="04160003">
      <w:start w:val="1"/>
      <w:numFmt w:val="lowerLetter"/>
      <w:lvlText w:val="%2)"/>
      <w:lvlJc w:val="left"/>
      <w:pPr>
        <w:ind w:left="1440" w:hanging="360"/>
      </w:pPr>
      <w:rPr>
        <w:rFonts w:hint="default"/>
      </w:r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8">
    <w:nsid w:val="0A5802DC"/>
    <w:multiLevelType w:val="multilevel"/>
    <w:tmpl w:val="E0E69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D17624F"/>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0DA23FC3"/>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0F170A5C"/>
    <w:multiLevelType w:val="hybridMultilevel"/>
    <w:tmpl w:val="5094B766"/>
    <w:lvl w:ilvl="0" w:tplc="04160019">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13501A7B"/>
    <w:multiLevelType w:val="multilevel"/>
    <w:tmpl w:val="F7D2E7DE"/>
    <w:lvl w:ilvl="0">
      <w:start w:val="6"/>
      <w:numFmt w:val="decimal"/>
      <w:lvlText w:val="%1"/>
      <w:lvlJc w:val="left"/>
      <w:pPr>
        <w:ind w:left="360" w:hanging="360"/>
      </w:pPr>
      <w:rPr>
        <w:rFonts w:hint="default"/>
      </w:rPr>
    </w:lvl>
    <w:lvl w:ilvl="1">
      <w:start w:val="3"/>
      <w:numFmt w:val="decimal"/>
      <w:lvlText w:val="%1.%2"/>
      <w:lvlJc w:val="left"/>
      <w:pPr>
        <w:ind w:left="1068" w:hanging="360"/>
      </w:pPr>
      <w:rPr>
        <w:rFonts w:hint="default"/>
        <w:sz w:val="24"/>
        <w:szCs w:val="24"/>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3">
    <w:nsid w:val="14511CFC"/>
    <w:multiLevelType w:val="multilevel"/>
    <w:tmpl w:val="64D6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5AB6FD4"/>
    <w:multiLevelType w:val="multilevel"/>
    <w:tmpl w:val="BFE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6D76969"/>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1C674B04"/>
    <w:multiLevelType w:val="hybridMultilevel"/>
    <w:tmpl w:val="29F8845E"/>
    <w:lvl w:ilvl="0" w:tplc="FFFFFFFF">
      <w:start w:val="1"/>
      <w:numFmt w:val="lowerLetter"/>
      <w:lvlText w:val="%1)"/>
      <w:lvlJc w:val="left"/>
      <w:pPr>
        <w:ind w:left="2160" w:hanging="360"/>
      </w:pPr>
      <w:rPr>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1DAC7758"/>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1F8E4D7A"/>
    <w:multiLevelType w:val="multilevel"/>
    <w:tmpl w:val="246C9A56"/>
    <w:lvl w:ilvl="0">
      <w:start w:val="1"/>
      <w:numFmt w:val="lowerLetter"/>
      <w:lvlText w:val="%1."/>
      <w:lvlJc w:val="left"/>
      <w:pPr>
        <w:ind w:left="360" w:hanging="360"/>
      </w:pPr>
      <w:rPr>
        <w:b/>
        <w:bCs w:val="0"/>
      </w:rPr>
    </w:lvl>
    <w:lvl w:ilvl="1">
      <w:start w:val="1"/>
      <w:numFmt w:val="decimal"/>
      <w:lvlText w:val="%1.%2."/>
      <w:lvlJc w:val="left"/>
      <w:pPr>
        <w:ind w:left="1004" w:hanging="72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19">
    <w:nsid w:val="1FAF3B32"/>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20D37496"/>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23BD54CD"/>
    <w:multiLevelType w:val="hybridMultilevel"/>
    <w:tmpl w:val="0E82CE78"/>
    <w:lvl w:ilvl="0" w:tplc="233E8090">
      <w:start w:val="1"/>
      <w:numFmt w:val="lowerLetter"/>
      <w:lvlText w:val="%1)"/>
      <w:lvlJc w:val="left"/>
      <w:pPr>
        <w:ind w:left="720" w:hanging="360"/>
      </w:pPr>
      <w:rPr>
        <w:b/>
        <w:bCs/>
      </w:rPr>
    </w:lvl>
    <w:lvl w:ilvl="1" w:tplc="AC8AADF4">
      <w:start w:val="1"/>
      <w:numFmt w:val="lowerLetter"/>
      <w:lvlText w:val="%2."/>
      <w:lvlJc w:val="left"/>
      <w:pPr>
        <w:ind w:left="1440" w:hanging="360"/>
      </w:pPr>
    </w:lvl>
    <w:lvl w:ilvl="2" w:tplc="11ECC7F6" w:tentative="1">
      <w:start w:val="1"/>
      <w:numFmt w:val="lowerRoman"/>
      <w:lvlText w:val="%3."/>
      <w:lvlJc w:val="right"/>
      <w:pPr>
        <w:ind w:left="2160" w:hanging="180"/>
      </w:pPr>
    </w:lvl>
    <w:lvl w:ilvl="3" w:tplc="A3F8DF6E" w:tentative="1">
      <w:start w:val="1"/>
      <w:numFmt w:val="decimal"/>
      <w:lvlText w:val="%4."/>
      <w:lvlJc w:val="left"/>
      <w:pPr>
        <w:ind w:left="2880" w:hanging="360"/>
      </w:pPr>
    </w:lvl>
    <w:lvl w:ilvl="4" w:tplc="0DF0247E" w:tentative="1">
      <w:start w:val="1"/>
      <w:numFmt w:val="lowerLetter"/>
      <w:lvlText w:val="%5."/>
      <w:lvlJc w:val="left"/>
      <w:pPr>
        <w:ind w:left="3600" w:hanging="360"/>
      </w:pPr>
    </w:lvl>
    <w:lvl w:ilvl="5" w:tplc="5EF419F0" w:tentative="1">
      <w:start w:val="1"/>
      <w:numFmt w:val="lowerRoman"/>
      <w:lvlText w:val="%6."/>
      <w:lvlJc w:val="right"/>
      <w:pPr>
        <w:ind w:left="4320" w:hanging="180"/>
      </w:pPr>
    </w:lvl>
    <w:lvl w:ilvl="6" w:tplc="4EDA6CCA" w:tentative="1">
      <w:start w:val="1"/>
      <w:numFmt w:val="decimal"/>
      <w:lvlText w:val="%7."/>
      <w:lvlJc w:val="left"/>
      <w:pPr>
        <w:ind w:left="5040" w:hanging="360"/>
      </w:pPr>
    </w:lvl>
    <w:lvl w:ilvl="7" w:tplc="FB4C2492" w:tentative="1">
      <w:start w:val="1"/>
      <w:numFmt w:val="lowerLetter"/>
      <w:lvlText w:val="%8."/>
      <w:lvlJc w:val="left"/>
      <w:pPr>
        <w:ind w:left="5760" w:hanging="360"/>
      </w:pPr>
    </w:lvl>
    <w:lvl w:ilvl="8" w:tplc="53F44930" w:tentative="1">
      <w:start w:val="1"/>
      <w:numFmt w:val="lowerRoman"/>
      <w:lvlText w:val="%9."/>
      <w:lvlJc w:val="right"/>
      <w:pPr>
        <w:ind w:left="6480" w:hanging="180"/>
      </w:pPr>
    </w:lvl>
  </w:abstractNum>
  <w:abstractNum w:abstractNumId="22">
    <w:nsid w:val="245A591B"/>
    <w:multiLevelType w:val="hybridMultilevel"/>
    <w:tmpl w:val="11706756"/>
    <w:lvl w:ilvl="0" w:tplc="B2364A28">
      <w:start w:val="1"/>
      <w:numFmt w:val="upperRoman"/>
      <w:lvlText w:val="%1)"/>
      <w:lvlJc w:val="left"/>
      <w:pPr>
        <w:ind w:left="720" w:hanging="360"/>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23">
    <w:nsid w:val="258052A4"/>
    <w:multiLevelType w:val="multilevel"/>
    <w:tmpl w:val="DBFA81C6"/>
    <w:lvl w:ilvl="0">
      <w:start w:val="2"/>
      <w:numFmt w:val="decimal"/>
      <w:lvlText w:val="%1."/>
      <w:lvlJc w:val="left"/>
      <w:pPr>
        <w:ind w:left="1068" w:hanging="360"/>
      </w:pPr>
      <w:rPr>
        <w:rFonts w:hint="default"/>
      </w:rPr>
    </w:lvl>
    <w:lvl w:ilvl="1">
      <w:start w:val="1"/>
      <w:numFmt w:val="decimal"/>
      <w:lvlText w:val="%1.%2."/>
      <w:lvlJc w:val="left"/>
      <w:pPr>
        <w:ind w:left="1068" w:hanging="360"/>
      </w:pPr>
      <w:rPr>
        <w:rFonts w:hint="default"/>
        <w:b/>
        <w:bCs w:val="0"/>
      </w:rPr>
    </w:lvl>
    <w:lvl w:ilvl="2">
      <w:start w:val="1"/>
      <w:numFmt w:val="decimal"/>
      <w:lvlText w:val="%1.%2.%3."/>
      <w:lvlJc w:val="left"/>
      <w:pPr>
        <w:ind w:left="1713" w:hanging="720"/>
      </w:pPr>
      <w:rPr>
        <w:rFonts w:hint="default"/>
        <w:b/>
        <w:bCs/>
      </w:rPr>
    </w:lvl>
    <w:lvl w:ilvl="3">
      <w:start w:val="1"/>
      <w:numFmt w:val="decimal"/>
      <w:lvlText w:val="%1.%2.%3.%4."/>
      <w:lvlJc w:val="left"/>
      <w:pPr>
        <w:ind w:left="1428" w:hanging="720"/>
      </w:pPr>
      <w:rPr>
        <w:rFonts w:hint="default"/>
        <w:b/>
        <w:bCs w:val="0"/>
      </w:rPr>
    </w:lvl>
    <w:lvl w:ilvl="4">
      <w:start w:val="1"/>
      <w:numFmt w:val="decimal"/>
      <w:lvlText w:val="%1.%2.%3.%4.%5."/>
      <w:lvlJc w:val="left"/>
      <w:pPr>
        <w:ind w:left="1788" w:hanging="1080"/>
      </w:pPr>
      <w:rPr>
        <w:rFonts w:hint="default"/>
      </w:rPr>
    </w:lvl>
    <w:lvl w:ilvl="5">
      <w:start w:val="1"/>
      <w:numFmt w:val="decimal"/>
      <w:lvlText w:val="%1.%2.%3.%4.%5.%6."/>
      <w:lvlJc w:val="left"/>
      <w:pPr>
        <w:ind w:left="1788" w:hanging="108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148" w:hanging="1440"/>
      </w:pPr>
      <w:rPr>
        <w:rFonts w:hint="default"/>
      </w:rPr>
    </w:lvl>
    <w:lvl w:ilvl="8">
      <w:start w:val="1"/>
      <w:numFmt w:val="decimal"/>
      <w:lvlText w:val="%1.%2.%3.%4.%5.%6.%7.%8.%9."/>
      <w:lvlJc w:val="left"/>
      <w:pPr>
        <w:ind w:left="2508" w:hanging="1800"/>
      </w:pPr>
      <w:rPr>
        <w:rFonts w:hint="default"/>
      </w:rPr>
    </w:lvl>
  </w:abstractNum>
  <w:abstractNum w:abstractNumId="24">
    <w:nsid w:val="2A4F4E46"/>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2B8017FF"/>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nsid w:val="2D6003EB"/>
    <w:multiLevelType w:val="multilevel"/>
    <w:tmpl w:val="413871C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4"/>
        <w:szCs w:val="2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31053B40"/>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31CD4C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33B86200"/>
    <w:multiLevelType w:val="multilevel"/>
    <w:tmpl w:val="B372B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54C5ADB"/>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nsid w:val="37364F30"/>
    <w:multiLevelType w:val="multilevel"/>
    <w:tmpl w:val="44862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B783C0C"/>
    <w:multiLevelType w:val="multilevel"/>
    <w:tmpl w:val="D51C3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FA43D3F"/>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418A1457"/>
    <w:multiLevelType w:val="hybridMultilevel"/>
    <w:tmpl w:val="EB188926"/>
    <w:lvl w:ilvl="0" w:tplc="0E342DE0">
      <w:start w:val="1"/>
      <w:numFmt w:val="bullet"/>
      <w:pStyle w:val="NormalCourierNew"/>
      <w:lvlText w:val=""/>
      <w:lvlJc w:val="left"/>
      <w:pPr>
        <w:ind w:left="900" w:hanging="360"/>
      </w:pPr>
      <w:rPr>
        <w:rFonts w:ascii="Symbol" w:hAnsi="Symbol" w:hint="default"/>
      </w:rPr>
    </w:lvl>
    <w:lvl w:ilvl="1" w:tplc="04160003">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35">
    <w:nsid w:val="427D73CE"/>
    <w:multiLevelType w:val="multilevel"/>
    <w:tmpl w:val="D8FA81B6"/>
    <w:lvl w:ilvl="0">
      <w:start w:val="1"/>
      <w:numFmt w:val="decimal"/>
      <w:pStyle w:val="Ttulo1"/>
      <w:lvlText w:val="%1."/>
      <w:lvlJc w:val="left"/>
      <w:pPr>
        <w:ind w:left="1070" w:hanging="360"/>
      </w:pPr>
      <w:rPr>
        <w:rFonts w:hint="default"/>
      </w:rPr>
    </w:lvl>
    <w:lvl w:ilvl="1">
      <w:start w:val="1"/>
      <w:numFmt w:val="decimal"/>
      <w:isLgl/>
      <w:lvlText w:val="%1.%2."/>
      <w:lvlJc w:val="left"/>
      <w:pPr>
        <w:ind w:left="1855" w:hanging="720"/>
      </w:pPr>
      <w:rPr>
        <w:rFonts w:hint="default"/>
        <w:b/>
        <w:sz w:val="24"/>
        <w:szCs w:val="24"/>
      </w:rPr>
    </w:lvl>
    <w:lvl w:ilvl="2">
      <w:start w:val="1"/>
      <w:numFmt w:val="decimal"/>
      <w:isLgl/>
      <w:lvlText w:val="%1.%2.%3."/>
      <w:lvlJc w:val="left"/>
      <w:pPr>
        <w:ind w:left="1429" w:hanging="720"/>
      </w:pPr>
      <w:rPr>
        <w:rFonts w:hint="default"/>
        <w:b w:val="0"/>
        <w:bCs w:val="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449555D2"/>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46BC665B"/>
    <w:multiLevelType w:val="multilevel"/>
    <w:tmpl w:val="0548F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7F664E7"/>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nsid w:val="48FD5420"/>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4BDA313A"/>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nsid w:val="4C2328CB"/>
    <w:multiLevelType w:val="multilevel"/>
    <w:tmpl w:val="7794E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E210C8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nsid w:val="4FB352E0"/>
    <w:multiLevelType w:val="multilevel"/>
    <w:tmpl w:val="465E0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0C277EC"/>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6">
    <w:nsid w:val="5D4608E3"/>
    <w:multiLevelType w:val="hybridMultilevel"/>
    <w:tmpl w:val="E32EE11C"/>
    <w:lvl w:ilvl="0" w:tplc="C026EC8A">
      <w:start w:val="1"/>
      <w:numFmt w:val="lowerLetter"/>
      <w:lvlText w:val="%1)"/>
      <w:lvlJc w:val="left"/>
      <w:pPr>
        <w:ind w:left="720" w:hanging="360"/>
      </w:pPr>
      <w:rPr>
        <w:rFonts w:hint="default"/>
        <w:b/>
        <w:bCs/>
      </w:rPr>
    </w:lvl>
    <w:lvl w:ilvl="1" w:tplc="1184606C" w:tentative="1">
      <w:start w:val="1"/>
      <w:numFmt w:val="lowerLetter"/>
      <w:lvlText w:val="%2."/>
      <w:lvlJc w:val="left"/>
      <w:pPr>
        <w:ind w:left="1440" w:hanging="360"/>
      </w:pPr>
    </w:lvl>
    <w:lvl w:ilvl="2" w:tplc="73CE3F2A" w:tentative="1">
      <w:start w:val="1"/>
      <w:numFmt w:val="lowerRoman"/>
      <w:lvlText w:val="%3."/>
      <w:lvlJc w:val="right"/>
      <w:pPr>
        <w:ind w:left="2160" w:hanging="180"/>
      </w:pPr>
    </w:lvl>
    <w:lvl w:ilvl="3" w:tplc="A09E5B04" w:tentative="1">
      <w:start w:val="1"/>
      <w:numFmt w:val="decimal"/>
      <w:lvlText w:val="%4."/>
      <w:lvlJc w:val="left"/>
      <w:pPr>
        <w:ind w:left="2880" w:hanging="360"/>
      </w:pPr>
    </w:lvl>
    <w:lvl w:ilvl="4" w:tplc="FE8E4D44" w:tentative="1">
      <w:start w:val="1"/>
      <w:numFmt w:val="lowerLetter"/>
      <w:lvlText w:val="%5."/>
      <w:lvlJc w:val="left"/>
      <w:pPr>
        <w:ind w:left="3600" w:hanging="360"/>
      </w:pPr>
    </w:lvl>
    <w:lvl w:ilvl="5" w:tplc="A9EA18EE" w:tentative="1">
      <w:start w:val="1"/>
      <w:numFmt w:val="lowerRoman"/>
      <w:lvlText w:val="%6."/>
      <w:lvlJc w:val="right"/>
      <w:pPr>
        <w:ind w:left="4320" w:hanging="180"/>
      </w:pPr>
    </w:lvl>
    <w:lvl w:ilvl="6" w:tplc="A20413EA" w:tentative="1">
      <w:start w:val="1"/>
      <w:numFmt w:val="decimal"/>
      <w:lvlText w:val="%7."/>
      <w:lvlJc w:val="left"/>
      <w:pPr>
        <w:ind w:left="5040" w:hanging="360"/>
      </w:pPr>
    </w:lvl>
    <w:lvl w:ilvl="7" w:tplc="4282D7B8" w:tentative="1">
      <w:start w:val="1"/>
      <w:numFmt w:val="lowerLetter"/>
      <w:lvlText w:val="%8."/>
      <w:lvlJc w:val="left"/>
      <w:pPr>
        <w:ind w:left="5760" w:hanging="360"/>
      </w:pPr>
    </w:lvl>
    <w:lvl w:ilvl="8" w:tplc="46F0F3EE" w:tentative="1">
      <w:start w:val="1"/>
      <w:numFmt w:val="lowerRoman"/>
      <w:lvlText w:val="%9."/>
      <w:lvlJc w:val="right"/>
      <w:pPr>
        <w:ind w:left="6480" w:hanging="180"/>
      </w:pPr>
    </w:lvl>
  </w:abstractNum>
  <w:abstractNum w:abstractNumId="47">
    <w:nsid w:val="5DF7100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nsid w:val="60710C71"/>
    <w:multiLevelType w:val="hybridMultilevel"/>
    <w:tmpl w:val="611E55B0"/>
    <w:lvl w:ilvl="0" w:tplc="0416000F">
      <w:start w:val="1"/>
      <w:numFmt w:val="decimal"/>
      <w:lvlText w:val="%1."/>
      <w:lvlJc w:val="left"/>
      <w:pPr>
        <w:ind w:left="6031"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9">
    <w:nsid w:val="61B22BC6"/>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633700DF"/>
    <w:multiLevelType w:val="hybridMultilevel"/>
    <w:tmpl w:val="B9A8FDD8"/>
    <w:lvl w:ilvl="0" w:tplc="7B6A105A">
      <w:start w:val="1"/>
      <w:numFmt w:val="bullet"/>
      <w:lvlText w:val=""/>
      <w:lvlJc w:val="left"/>
      <w:pPr>
        <w:tabs>
          <w:tab w:val="num" w:pos="720"/>
        </w:tabs>
        <w:ind w:left="720" w:hanging="360"/>
      </w:pPr>
      <w:rPr>
        <w:rFonts w:ascii="Wingdings" w:hAnsi="Wingdings" w:hint="default"/>
      </w:rPr>
    </w:lvl>
    <w:lvl w:ilvl="1" w:tplc="04160019">
      <w:start w:val="1"/>
      <w:numFmt w:val="bullet"/>
      <w:pStyle w:val="Recuodecorpodetexto1"/>
      <w:lvlText w:val=""/>
      <w:lvlJc w:val="left"/>
      <w:pPr>
        <w:tabs>
          <w:tab w:val="num" w:pos="1440"/>
        </w:tabs>
        <w:ind w:left="1440" w:hanging="360"/>
      </w:pPr>
      <w:rPr>
        <w:rFonts w:ascii="Wingdings" w:hAnsi="Wingdings" w:hint="default"/>
      </w:rPr>
    </w:lvl>
    <w:lvl w:ilvl="2" w:tplc="0416001B">
      <w:start w:val="1"/>
      <w:numFmt w:val="bullet"/>
      <w:lvlText w:val=""/>
      <w:lvlJc w:val="left"/>
      <w:pPr>
        <w:tabs>
          <w:tab w:val="num" w:pos="2160"/>
        </w:tabs>
        <w:ind w:left="2160" w:hanging="360"/>
      </w:pPr>
      <w:rPr>
        <w:rFonts w:ascii="Wingdings" w:hAnsi="Wingdings" w:hint="default"/>
      </w:rPr>
    </w:lvl>
    <w:lvl w:ilvl="3" w:tplc="0416000F">
      <w:start w:val="1"/>
      <w:numFmt w:val="bullet"/>
      <w:lvlText w:val=""/>
      <w:lvlJc w:val="left"/>
      <w:pPr>
        <w:tabs>
          <w:tab w:val="num" w:pos="2880"/>
        </w:tabs>
        <w:ind w:left="2880" w:hanging="360"/>
      </w:pPr>
      <w:rPr>
        <w:rFonts w:ascii="Symbol" w:hAnsi="Symbol" w:hint="default"/>
      </w:rPr>
    </w:lvl>
    <w:lvl w:ilvl="4" w:tplc="04160019">
      <w:start w:val="1"/>
      <w:numFmt w:val="bullet"/>
      <w:lvlText w:val="o"/>
      <w:lvlJc w:val="left"/>
      <w:pPr>
        <w:tabs>
          <w:tab w:val="num" w:pos="3600"/>
        </w:tabs>
        <w:ind w:left="3600" w:hanging="360"/>
      </w:pPr>
      <w:rPr>
        <w:rFonts w:ascii="Courier New" w:hAnsi="Courier New" w:hint="default"/>
      </w:rPr>
    </w:lvl>
    <w:lvl w:ilvl="5" w:tplc="0416001B">
      <w:start w:val="1"/>
      <w:numFmt w:val="bullet"/>
      <w:lvlText w:val=""/>
      <w:lvlJc w:val="left"/>
      <w:pPr>
        <w:tabs>
          <w:tab w:val="num" w:pos="4320"/>
        </w:tabs>
        <w:ind w:left="4320" w:hanging="360"/>
      </w:pPr>
      <w:rPr>
        <w:rFonts w:ascii="Wingdings" w:hAnsi="Wingdings" w:hint="default"/>
      </w:rPr>
    </w:lvl>
    <w:lvl w:ilvl="6" w:tplc="0416000F">
      <w:start w:val="1"/>
      <w:numFmt w:val="bullet"/>
      <w:lvlText w:val=""/>
      <w:lvlJc w:val="left"/>
      <w:pPr>
        <w:tabs>
          <w:tab w:val="num" w:pos="5040"/>
        </w:tabs>
        <w:ind w:left="5040" w:hanging="360"/>
      </w:pPr>
      <w:rPr>
        <w:rFonts w:ascii="Symbol" w:hAnsi="Symbol" w:hint="default"/>
      </w:rPr>
    </w:lvl>
    <w:lvl w:ilvl="7" w:tplc="04160019">
      <w:start w:val="1"/>
      <w:numFmt w:val="bullet"/>
      <w:lvlText w:val="o"/>
      <w:lvlJc w:val="left"/>
      <w:pPr>
        <w:tabs>
          <w:tab w:val="num" w:pos="5760"/>
        </w:tabs>
        <w:ind w:left="5760" w:hanging="360"/>
      </w:pPr>
      <w:rPr>
        <w:rFonts w:ascii="Courier New" w:hAnsi="Courier New" w:hint="default"/>
      </w:rPr>
    </w:lvl>
    <w:lvl w:ilvl="8" w:tplc="0416001B">
      <w:start w:val="1"/>
      <w:numFmt w:val="bullet"/>
      <w:lvlText w:val=""/>
      <w:lvlJc w:val="left"/>
      <w:pPr>
        <w:tabs>
          <w:tab w:val="num" w:pos="6480"/>
        </w:tabs>
        <w:ind w:left="6480" w:hanging="360"/>
      </w:pPr>
      <w:rPr>
        <w:rFonts w:ascii="Wingdings" w:hAnsi="Wingdings" w:hint="default"/>
      </w:rPr>
    </w:lvl>
  </w:abstractNum>
  <w:abstractNum w:abstractNumId="51">
    <w:nsid w:val="648F7FA0"/>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nsid w:val="7110539B"/>
    <w:multiLevelType w:val="multilevel"/>
    <w:tmpl w:val="64CC7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65454CC"/>
    <w:multiLevelType w:val="multilevel"/>
    <w:tmpl w:val="A4F0F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6DA4C27"/>
    <w:multiLevelType w:val="multilevel"/>
    <w:tmpl w:val="8D22C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BD01C60"/>
    <w:multiLevelType w:val="hybridMultilevel"/>
    <w:tmpl w:val="B07AD0C0"/>
    <w:lvl w:ilvl="0" w:tplc="72B030D4">
      <w:start w:val="1"/>
      <w:numFmt w:val="decimal"/>
      <w:lvlText w:val="%1)"/>
      <w:lvlJc w:val="left"/>
      <w:pPr>
        <w:ind w:left="720" w:hanging="360"/>
      </w:pPr>
      <w:rPr>
        <w:rFonts w:hint="default"/>
      </w:rPr>
    </w:lvl>
    <w:lvl w:ilvl="1" w:tplc="96F4B0FA" w:tentative="1">
      <w:start w:val="1"/>
      <w:numFmt w:val="lowerLetter"/>
      <w:lvlText w:val="%2."/>
      <w:lvlJc w:val="left"/>
      <w:pPr>
        <w:ind w:left="1440" w:hanging="360"/>
      </w:pPr>
    </w:lvl>
    <w:lvl w:ilvl="2" w:tplc="05E466AA" w:tentative="1">
      <w:start w:val="1"/>
      <w:numFmt w:val="lowerRoman"/>
      <w:lvlText w:val="%3."/>
      <w:lvlJc w:val="right"/>
      <w:pPr>
        <w:ind w:left="2160" w:hanging="180"/>
      </w:pPr>
    </w:lvl>
    <w:lvl w:ilvl="3" w:tplc="E0A49BC0" w:tentative="1">
      <w:start w:val="1"/>
      <w:numFmt w:val="decimal"/>
      <w:lvlText w:val="%4."/>
      <w:lvlJc w:val="left"/>
      <w:pPr>
        <w:ind w:left="2880" w:hanging="360"/>
      </w:pPr>
    </w:lvl>
    <w:lvl w:ilvl="4" w:tplc="AB2AD534" w:tentative="1">
      <w:start w:val="1"/>
      <w:numFmt w:val="lowerLetter"/>
      <w:lvlText w:val="%5."/>
      <w:lvlJc w:val="left"/>
      <w:pPr>
        <w:ind w:left="3600" w:hanging="360"/>
      </w:pPr>
    </w:lvl>
    <w:lvl w:ilvl="5" w:tplc="C9D8FAF0" w:tentative="1">
      <w:start w:val="1"/>
      <w:numFmt w:val="lowerRoman"/>
      <w:lvlText w:val="%6."/>
      <w:lvlJc w:val="right"/>
      <w:pPr>
        <w:ind w:left="4320" w:hanging="180"/>
      </w:pPr>
    </w:lvl>
    <w:lvl w:ilvl="6" w:tplc="73A4F3B2" w:tentative="1">
      <w:start w:val="1"/>
      <w:numFmt w:val="decimal"/>
      <w:lvlText w:val="%7."/>
      <w:lvlJc w:val="left"/>
      <w:pPr>
        <w:ind w:left="5040" w:hanging="360"/>
      </w:pPr>
    </w:lvl>
    <w:lvl w:ilvl="7" w:tplc="A760B8C6" w:tentative="1">
      <w:start w:val="1"/>
      <w:numFmt w:val="lowerLetter"/>
      <w:lvlText w:val="%8."/>
      <w:lvlJc w:val="left"/>
      <w:pPr>
        <w:ind w:left="5760" w:hanging="360"/>
      </w:pPr>
    </w:lvl>
    <w:lvl w:ilvl="8" w:tplc="0B38CBCE" w:tentative="1">
      <w:start w:val="1"/>
      <w:numFmt w:val="lowerRoman"/>
      <w:lvlText w:val="%9."/>
      <w:lvlJc w:val="right"/>
      <w:pPr>
        <w:ind w:left="6480" w:hanging="180"/>
      </w:pPr>
    </w:lvl>
  </w:abstractNum>
  <w:abstractNum w:abstractNumId="56">
    <w:nsid w:val="7C46575C"/>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29"/>
  </w:num>
  <w:num w:numId="2">
    <w:abstractNumId w:val="31"/>
  </w:num>
  <w:num w:numId="3">
    <w:abstractNumId w:val="52"/>
  </w:num>
  <w:num w:numId="4">
    <w:abstractNumId w:val="41"/>
  </w:num>
  <w:num w:numId="5">
    <w:abstractNumId w:val="32"/>
  </w:num>
  <w:num w:numId="6">
    <w:abstractNumId w:val="53"/>
  </w:num>
  <w:num w:numId="7">
    <w:abstractNumId w:val="8"/>
  </w:num>
  <w:num w:numId="8">
    <w:abstractNumId w:val="14"/>
  </w:num>
  <w:num w:numId="9">
    <w:abstractNumId w:val="2"/>
  </w:num>
  <w:num w:numId="10">
    <w:abstractNumId w:val="13"/>
  </w:num>
  <w:num w:numId="11">
    <w:abstractNumId w:val="37"/>
  </w:num>
  <w:num w:numId="12">
    <w:abstractNumId w:val="54"/>
  </w:num>
  <w:num w:numId="13">
    <w:abstractNumId w:val="43"/>
  </w:num>
  <w:num w:numId="14">
    <w:abstractNumId w:val="50"/>
  </w:num>
  <w:num w:numId="15">
    <w:abstractNumId w:val="34"/>
  </w:num>
  <w:num w:numId="16">
    <w:abstractNumId w:val="6"/>
  </w:num>
  <w:num w:numId="17">
    <w:abstractNumId w:val="45"/>
  </w:num>
  <w:num w:numId="18">
    <w:abstractNumId w:val="55"/>
  </w:num>
  <w:num w:numId="19">
    <w:abstractNumId w:val="7"/>
  </w:num>
  <w:num w:numId="20">
    <w:abstractNumId w:val="35"/>
  </w:num>
  <w:num w:numId="21">
    <w:abstractNumId w:val="57"/>
  </w:num>
  <w:num w:numId="22">
    <w:abstractNumId w:val="0"/>
  </w:num>
  <w:num w:numId="23">
    <w:abstractNumId w:val="12"/>
  </w:num>
  <w:num w:numId="24">
    <w:abstractNumId w:val="48"/>
  </w:num>
  <w:num w:numId="25">
    <w:abstractNumId w:val="4"/>
  </w:num>
  <w:num w:numId="26">
    <w:abstractNumId w:val="51"/>
  </w:num>
  <w:num w:numId="27">
    <w:abstractNumId w:val="56"/>
  </w:num>
  <w:num w:numId="28">
    <w:abstractNumId w:val="33"/>
  </w:num>
  <w:num w:numId="29">
    <w:abstractNumId w:val="44"/>
  </w:num>
  <w:num w:numId="30">
    <w:abstractNumId w:val="49"/>
  </w:num>
  <w:num w:numId="31">
    <w:abstractNumId w:val="3"/>
  </w:num>
  <w:num w:numId="32">
    <w:abstractNumId w:val="16"/>
  </w:num>
  <w:num w:numId="33">
    <w:abstractNumId w:val="23"/>
  </w:num>
  <w:num w:numId="34">
    <w:abstractNumId w:val="22"/>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24"/>
  </w:num>
  <w:num w:numId="38">
    <w:abstractNumId w:val="9"/>
  </w:num>
  <w:num w:numId="39">
    <w:abstractNumId w:val="30"/>
  </w:num>
  <w:num w:numId="40">
    <w:abstractNumId w:val="38"/>
  </w:num>
  <w:num w:numId="41">
    <w:abstractNumId w:val="26"/>
  </w:num>
  <w:num w:numId="42">
    <w:abstractNumId w:val="1"/>
  </w:num>
  <w:num w:numId="43">
    <w:abstractNumId w:val="36"/>
  </w:num>
  <w:num w:numId="44">
    <w:abstractNumId w:val="15"/>
  </w:num>
  <w:num w:numId="45">
    <w:abstractNumId w:val="21"/>
  </w:num>
  <w:num w:numId="46">
    <w:abstractNumId w:val="11"/>
  </w:num>
  <w:num w:numId="47">
    <w:abstractNumId w:val="19"/>
  </w:num>
  <w:num w:numId="48">
    <w:abstractNumId w:val="25"/>
  </w:num>
  <w:num w:numId="49">
    <w:abstractNumId w:val="40"/>
  </w:num>
  <w:num w:numId="50">
    <w:abstractNumId w:val="28"/>
  </w:num>
  <w:num w:numId="51">
    <w:abstractNumId w:val="5"/>
  </w:num>
  <w:num w:numId="52">
    <w:abstractNumId w:val="27"/>
  </w:num>
  <w:num w:numId="53">
    <w:abstractNumId w:val="42"/>
  </w:num>
  <w:num w:numId="54">
    <w:abstractNumId w:val="20"/>
  </w:num>
  <w:num w:numId="55">
    <w:abstractNumId w:val="47"/>
  </w:num>
  <w:num w:numId="56">
    <w:abstractNumId w:val="39"/>
  </w:num>
  <w:num w:numId="57">
    <w:abstractNumId w:val="10"/>
  </w:num>
  <w:num w:numId="58">
    <w:abstractNumId w:val="46"/>
  </w:num>
  <w:num w:numId="59">
    <w:abstractNumId w:val="1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02FFEE5-5078-48D2-8B57-7C58B329F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pacing w:after="0" w:line="240" w:lineRule="auto"/>
    </w:pPr>
    <w:rPr>
      <w:rFonts w:ascii="Times New Roman" w:eastAsia="Times New Roman" w:hAnsi="Times New Roman" w:cs="Times New Roman"/>
      <w:kern w:val="0"/>
      <w:sz w:val="20"/>
      <w:szCs w:val="20"/>
      <w14:ligatures w14:val="none"/>
    </w:rPr>
  </w:style>
  <w:style w:type="paragraph" w:styleId="Ttulo1">
    <w:name w:val="heading 1"/>
    <w:basedOn w:val="Normal"/>
    <w:next w:val="Normal"/>
    <w:link w:val="Ttulo1Char"/>
    <w:uiPriority w:val="9"/>
    <w:qFormat/>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har"/>
    <w:uiPriority w:val="9"/>
    <w:unhideWhenUsed/>
    <w:qFormat/>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har"/>
    <w:uiPriority w:val="9"/>
    <w:unhideWhenUsed/>
    <w:qFormat/>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har"/>
    <w:uiPriority w:val="9"/>
    <w:unhideWhenUsed/>
    <w:qFormat/>
    <w:pPr>
      <w:keepNext/>
      <w:keepLines/>
      <w:spacing w:before="80" w:after="40" w:line="259" w:lineRule="auto"/>
      <w:outlineLvl w:val="3"/>
    </w:pPr>
    <w:rPr>
      <w:rFonts w:asciiTheme="minorHAnsi" w:eastAsiaTheme="majorEastAsia" w:hAnsiTheme="minorHAnsi" w:cstheme="majorBidi"/>
      <w:i/>
      <w:iCs/>
      <w:color w:val="2F5496" w:themeColor="accent1" w:themeShade="BF"/>
      <w:kern w:val="2"/>
      <w:sz w:val="22"/>
      <w:szCs w:val="22"/>
      <w14:ligatures w14:val="standardContextual"/>
    </w:rPr>
  </w:style>
  <w:style w:type="paragraph" w:styleId="Ttulo5">
    <w:name w:val="heading 5"/>
    <w:basedOn w:val="Normal"/>
    <w:next w:val="Normal"/>
    <w:link w:val="Ttulo5Char"/>
    <w:uiPriority w:val="9"/>
    <w:unhideWhenUsed/>
    <w:qFormat/>
    <w:pPr>
      <w:keepNext/>
      <w:keepLines/>
      <w:spacing w:before="80" w:after="40" w:line="259" w:lineRule="auto"/>
      <w:outlineLvl w:val="4"/>
    </w:pPr>
    <w:rPr>
      <w:rFonts w:asciiTheme="minorHAnsi" w:eastAsiaTheme="majorEastAsia" w:hAnsiTheme="minorHAnsi" w:cstheme="majorBidi"/>
      <w:color w:val="2F5496" w:themeColor="accent1" w:themeShade="BF"/>
      <w:kern w:val="2"/>
      <w:sz w:val="22"/>
      <w:szCs w:val="22"/>
      <w14:ligatures w14:val="standardContextual"/>
    </w:rPr>
  </w:style>
  <w:style w:type="paragraph" w:styleId="Ttulo6">
    <w:name w:val="heading 6"/>
    <w:basedOn w:val="Normal"/>
    <w:next w:val="Normal"/>
    <w:link w:val="Ttulo6Char"/>
    <w:unhideWhenUsed/>
    <w:qFormat/>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14:ligatures w14:val="standardContextual"/>
    </w:rPr>
  </w:style>
  <w:style w:type="paragraph" w:styleId="Ttulo7">
    <w:name w:val="heading 7"/>
    <w:basedOn w:val="Normal"/>
    <w:next w:val="Normal"/>
    <w:link w:val="Ttulo7Char"/>
    <w:uiPriority w:val="9"/>
    <w:unhideWhenUsed/>
    <w:qFormat/>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14:ligatures w14:val="standardContextual"/>
    </w:rPr>
  </w:style>
  <w:style w:type="paragraph" w:styleId="Ttulo8">
    <w:name w:val="heading 8"/>
    <w:basedOn w:val="Normal"/>
    <w:next w:val="Normal"/>
    <w:link w:val="Ttulo8Char"/>
    <w:uiPriority w:val="9"/>
    <w:unhideWhenUsed/>
    <w:qFormat/>
    <w:pPr>
      <w:keepNext/>
      <w:keepLines/>
      <w:spacing w:line="259" w:lineRule="auto"/>
      <w:outlineLvl w:val="7"/>
    </w:pPr>
    <w:rPr>
      <w:rFonts w:asciiTheme="minorHAnsi" w:eastAsiaTheme="majorEastAsia" w:hAnsiTheme="minorHAnsi" w:cstheme="majorBidi"/>
      <w:i/>
      <w:iCs/>
      <w:color w:val="272727" w:themeColor="text1" w:themeTint="D8"/>
      <w:kern w:val="2"/>
      <w:sz w:val="22"/>
      <w:szCs w:val="22"/>
      <w14:ligatures w14:val="standardContextual"/>
    </w:rPr>
  </w:style>
  <w:style w:type="paragraph" w:styleId="Ttulo9">
    <w:name w:val="heading 9"/>
    <w:basedOn w:val="Normal"/>
    <w:next w:val="Normal"/>
    <w:link w:val="Ttulo9Char"/>
    <w:uiPriority w:val="9"/>
    <w:unhideWhenUsed/>
    <w:qFormat/>
    <w:pPr>
      <w:keepNext/>
      <w:keepLines/>
      <w:spacing w:line="259" w:lineRule="auto"/>
      <w:outlineLvl w:val="8"/>
    </w:pPr>
    <w:rPr>
      <w:rFonts w:asciiTheme="minorHAnsi" w:eastAsiaTheme="majorEastAsia" w:hAnsiTheme="minorHAnsi" w:cstheme="majorBidi"/>
      <w:color w:val="272727" w:themeColor="text1" w:themeTint="D8"/>
      <w:kern w:val="2"/>
      <w:sz w:val="22"/>
      <w:szCs w:val="22"/>
      <w14:ligatures w14:val="standardContextu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rPr>
      <w:rFonts w:eastAsiaTheme="majorEastAsia" w:cstheme="majorBidi"/>
      <w:i/>
      <w:iCs/>
      <w:color w:val="2F5496" w:themeColor="accent1" w:themeShade="BF"/>
    </w:rPr>
  </w:style>
  <w:style w:type="character" w:customStyle="1" w:styleId="Ttulo5Char">
    <w:name w:val="Título 5 Char"/>
    <w:basedOn w:val="Fontepargpadro"/>
    <w:link w:val="Ttulo5"/>
    <w:uiPriority w:val="9"/>
    <w:rPr>
      <w:rFonts w:eastAsiaTheme="majorEastAsia" w:cstheme="majorBidi"/>
      <w:color w:val="2F5496" w:themeColor="accent1" w:themeShade="BF"/>
    </w:rPr>
  </w:style>
  <w:style w:type="character" w:customStyle="1" w:styleId="Ttulo6Char">
    <w:name w:val="Título 6 Char"/>
    <w:basedOn w:val="Fontepargpadro"/>
    <w:link w:val="Ttulo6"/>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10"/>
    <w:qFormat/>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har">
    <w:name w:val="Título Char"/>
    <w:basedOn w:val="Fontepargpadro"/>
    <w:link w:val="Ttulo"/>
    <w:uiPriority w:val="1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har">
    <w:name w:val="Subtítulo Char"/>
    <w:basedOn w:val="Fontepargpadro"/>
    <w:link w:val="Subttulo"/>
    <w:uiPriority w:val="11"/>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14:ligatures w14:val="standardContextual"/>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paragraph" w:styleId="SemEspaamento">
    <w:name w:val="No Spacing"/>
    <w:link w:val="SemEspaamentoChar"/>
    <w:uiPriority w:val="1"/>
    <w:qFormat/>
    <w:pPr>
      <w:spacing w:after="0" w:line="240" w:lineRule="auto"/>
    </w:pPr>
    <w:rPr>
      <w:rFonts w:ascii="Calibri" w:eastAsia="Calibri" w:hAnsi="Calibri" w:cs="Times New Roman"/>
      <w:kern w:val="0"/>
      <w14:ligatures w14:val="none"/>
    </w:rPr>
  </w:style>
  <w:style w:type="character" w:customStyle="1" w:styleId="SemEspaamentoChar">
    <w:name w:val="Sem Espaçamento Char"/>
    <w:link w:val="SemEspaamento"/>
    <w:uiPriority w:val="1"/>
    <w:rPr>
      <w:rFonts w:ascii="Calibri" w:eastAsia="Calibri" w:hAnsi="Calibri" w:cs="Times New Roman"/>
      <w:kern w:val="0"/>
      <w14:ligatures w14:val="none"/>
    </w:rPr>
  </w:style>
  <w:style w:type="paragraph" w:styleId="Cabealho">
    <w:name w:val="header"/>
    <w:aliases w:val="hd,he,encabezado,Char, Char,Header Char,Cabeçalho superior,Heading 1a,Cabeçalho1,h,HeaderNN,Ofício Circular"/>
    <w:basedOn w:val="Normal"/>
    <w:link w:val="CabealhoChar"/>
    <w:unhideWhenUsed/>
    <w:pPr>
      <w:tabs>
        <w:tab w:val="center" w:pos="4252"/>
        <w:tab w:val="right" w:pos="8504"/>
      </w:tabs>
    </w:pPr>
  </w:style>
  <w:style w:type="character" w:customStyle="1" w:styleId="CabealhoChar">
    <w:name w:val="Cabeçalho Char"/>
    <w:aliases w:val="hd Char,he Char,encabezado Char,Char Char, Char Char,Header Char Char,Cabeçalho superior Char,Heading 1a Char,Cabeçalho1 Char,h Char,HeaderNN Char,Ofício Circular Char"/>
    <w:basedOn w:val="Fontepargpadro"/>
    <w:link w:val="Cabealho"/>
    <w:qFormat/>
    <w:rPr>
      <w:rFonts w:ascii="Times New Roman" w:eastAsia="Times New Roman" w:hAnsi="Times New Roman" w:cs="Times New Roman"/>
      <w:kern w:val="0"/>
      <w:sz w:val="20"/>
      <w:szCs w:val="20"/>
      <w14:ligatures w14:val="none"/>
    </w:rPr>
  </w:style>
  <w:style w:type="paragraph" w:styleId="Rodap">
    <w:name w:val="footer"/>
    <w:basedOn w:val="Normal"/>
    <w:link w:val="RodapChar"/>
    <w:unhideWhenUsed/>
    <w:pPr>
      <w:tabs>
        <w:tab w:val="center" w:pos="4252"/>
        <w:tab w:val="right" w:pos="8504"/>
      </w:tabs>
    </w:pPr>
  </w:style>
  <w:style w:type="character" w:customStyle="1" w:styleId="RodapChar">
    <w:name w:val="Rodapé Char"/>
    <w:basedOn w:val="Fontepargpadro"/>
    <w:link w:val="Rodap"/>
    <w:qFormat/>
    <w:rPr>
      <w:rFonts w:ascii="Times New Roman" w:eastAsia="Times New Roman" w:hAnsi="Times New Roman" w:cs="Times New Roman"/>
      <w:kern w:val="0"/>
      <w:sz w:val="20"/>
      <w:szCs w:val="20"/>
      <w14:ligatures w14:val="none"/>
    </w:rPr>
  </w:style>
  <w:style w:type="character" w:styleId="Hyperlink">
    <w:name w:val="Hyperlink"/>
    <w:uiPriority w:val="99"/>
    <w:rPr>
      <w:color w:val="000080"/>
      <w:u w:val="single"/>
    </w:rPr>
  </w:style>
  <w:style w:type="paragraph" w:customStyle="1" w:styleId="Standard">
    <w:name w:val="Standard"/>
    <w:pPr>
      <w:suppressAutoHyphens/>
      <w:autoSpaceDN w:val="0"/>
      <w:spacing w:after="0" w:line="240" w:lineRule="auto"/>
    </w:pPr>
    <w:rPr>
      <w:rFonts w:ascii="Times New Roman" w:eastAsia="Times New Roman" w:hAnsi="Times New Roman" w:cs="Times New Roman"/>
      <w:kern w:val="3"/>
      <w:sz w:val="24"/>
      <w:szCs w:val="20"/>
      <w:lang w:eastAsia="zh-CN"/>
      <w14:ligatures w14:val="none"/>
    </w:rPr>
  </w:style>
  <w:style w:type="table" w:styleId="Tabelacomgrade">
    <w:name w:val="Table Grid"/>
    <w:basedOn w:val="Tabelanormal"/>
    <w:uiPriority w:val="59"/>
    <w:pPr>
      <w:spacing w:after="0" w:line="240" w:lineRule="auto"/>
    </w:pPr>
    <w:rPr>
      <w:rFonts w:ascii="Calibri" w:eastAsia="Calibri" w:hAnsi="Calibri"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grafodaListaChar">
    <w:name w:val="Parágrafo da Lista Char"/>
    <w:basedOn w:val="Fontepargpadro"/>
    <w:link w:val="PargrafodaLista"/>
    <w:uiPriority w:val="34"/>
    <w:qFormat/>
    <w:locked/>
  </w:style>
  <w:style w:type="paragraph" w:customStyle="1" w:styleId="textbody">
    <w:name w:val="textbody"/>
    <w:basedOn w:val="Normal"/>
    <w:pPr>
      <w:spacing w:before="100" w:beforeAutospacing="1" w:after="100" w:afterAutospacing="1"/>
    </w:pPr>
    <w:rPr>
      <w:sz w:val="24"/>
      <w:szCs w:val="24"/>
      <w:lang w:eastAsia="pt-BR"/>
    </w:rPr>
  </w:style>
  <w:style w:type="paragraph" w:customStyle="1" w:styleId="Nivel3">
    <w:name w:val="Nivel 3"/>
    <w:basedOn w:val="Normal"/>
    <w:link w:val="Nivel3Char"/>
    <w:qFormat/>
    <w:pPr>
      <w:spacing w:before="120" w:after="120" w:line="276" w:lineRule="auto"/>
      <w:ind w:left="1224" w:hanging="504"/>
      <w:jc w:val="both"/>
    </w:pPr>
    <w:rPr>
      <w:rFonts w:ascii="Ecofont_Spranq_eco_Sans" w:eastAsia="Arial Unicode MS" w:hAnsi="Ecofont_Spranq_eco_Sans" w:cs="Arial"/>
      <w:color w:val="000000"/>
      <w:lang w:eastAsia="pt-BR"/>
    </w:rPr>
  </w:style>
  <w:style w:type="paragraph" w:customStyle="1" w:styleId="Nivel4">
    <w:name w:val="Nivel 4"/>
    <w:basedOn w:val="Nivel3"/>
    <w:link w:val="Nivel4Char"/>
    <w:qFormat/>
    <w:pPr>
      <w:tabs>
        <w:tab w:val="num" w:pos="360"/>
      </w:tabs>
      <w:ind w:left="2880" w:hanging="360"/>
    </w:pPr>
    <w:rPr>
      <w:color w:val="auto"/>
    </w:rPr>
  </w:style>
  <w:style w:type="character" w:customStyle="1" w:styleId="Nivel4Char">
    <w:name w:val="Nivel 4 Char"/>
    <w:basedOn w:val="Fontepargpadro"/>
    <w:link w:val="Nivel4"/>
    <w:rPr>
      <w:rFonts w:ascii="Ecofont_Spranq_eco_Sans" w:eastAsia="Arial Unicode MS" w:hAnsi="Ecofont_Spranq_eco_Sans" w:cs="Arial"/>
      <w:kern w:val="0"/>
      <w:sz w:val="20"/>
      <w:szCs w:val="20"/>
      <w:lang w:eastAsia="pt-BR"/>
      <w14:ligatures w14:val="none"/>
    </w:rPr>
  </w:style>
  <w:style w:type="character" w:customStyle="1" w:styleId="Nivel3Char">
    <w:name w:val="Nivel 3 Char"/>
    <w:basedOn w:val="Fontepargpadro"/>
    <w:link w:val="Nivel3"/>
    <w:rPr>
      <w:rFonts w:ascii="Ecofont_Spranq_eco_Sans" w:eastAsia="Arial Unicode MS" w:hAnsi="Ecofont_Spranq_eco_Sans" w:cs="Arial"/>
      <w:color w:val="000000"/>
      <w:kern w:val="0"/>
      <w:sz w:val="20"/>
      <w:szCs w:val="20"/>
      <w:lang w:eastAsia="pt-BR"/>
      <w14:ligatures w14:val="none"/>
    </w:rPr>
  </w:style>
  <w:style w:type="paragraph" w:styleId="Corpodetexto2">
    <w:name w:val="Body Text 2"/>
    <w:basedOn w:val="Normal"/>
    <w:link w:val="Corpodetexto2Char"/>
    <w:pPr>
      <w:jc w:val="both"/>
    </w:pPr>
    <w:rPr>
      <w:sz w:val="28"/>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14:ligatures w14:val="none"/>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ind w:firstLine="1985"/>
      <w:jc w:val="both"/>
    </w:pPr>
    <w:rPr>
      <w:rFonts w:ascii="Arial" w:hAnsi="Arial"/>
      <w:spacing w:val="-3"/>
      <w:sz w:val="24"/>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14:ligatures w14:val="none"/>
    </w:rPr>
  </w:style>
  <w:style w:type="paragraph" w:styleId="Recuodecorpodetexto3">
    <w:name w:val="Body Text Indent 3"/>
    <w:basedOn w:val="Normal"/>
    <w:link w:val="Recuodecorpodetexto3Char"/>
    <w:pPr>
      <w:ind w:left="1985"/>
      <w:jc w:val="both"/>
    </w:pPr>
    <w:rPr>
      <w:rFonts w:ascii="Arial" w:hAnsi="Arial"/>
      <w:sz w:val="22"/>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styleId="Recuodecorpodetexto2">
    <w:name w:val="Body Text Indent 2"/>
    <w:basedOn w:val="Normal"/>
    <w:link w:val="Recuodecorpodetexto2Char"/>
    <w:pPr>
      <w:ind w:firstLine="1985"/>
      <w:jc w:val="both"/>
    </w:pPr>
    <w:rPr>
      <w:rFonts w:ascii="Arial" w:hAnsi="Arial"/>
      <w:color w:val="000000"/>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14:ligatures w14:val="none"/>
    </w:rPr>
  </w:style>
  <w:style w:type="paragraph" w:styleId="Corpodetexto">
    <w:name w:val="Body Text"/>
    <w:basedOn w:val="Normal"/>
    <w:link w:val="CorpodetextoChar"/>
    <w:uiPriority w:val="1"/>
    <w:qFormat/>
    <w:pPr>
      <w:jc w:val="both"/>
    </w:pPr>
    <w:rPr>
      <w:rFonts w:ascii="Arial" w:hAnsi="Arial"/>
      <w:sz w:val="22"/>
    </w:rPr>
  </w:style>
  <w:style w:type="character" w:customStyle="1" w:styleId="CorpodetextoChar">
    <w:name w:val="Corpo de texto Char"/>
    <w:basedOn w:val="Fontepargpadro"/>
    <w:link w:val="Corpodetexto"/>
    <w:uiPriority w:val="1"/>
    <w:rPr>
      <w:rFonts w:ascii="Arial" w:eastAsia="Times New Roman" w:hAnsi="Arial" w:cs="Times New Roman"/>
      <w:kern w:val="0"/>
      <w:szCs w:val="20"/>
      <w14:ligatures w14:val="none"/>
    </w:rPr>
  </w:style>
  <w:style w:type="paragraph" w:styleId="Corpodetexto3">
    <w:name w:val="Body Text 3"/>
    <w:basedOn w:val="Normal"/>
    <w:link w:val="Corpodetexto3Char"/>
    <w:rPr>
      <w:sz w:val="24"/>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14:ligatures w14:val="none"/>
    </w:rPr>
  </w:style>
  <w:style w:type="paragraph" w:customStyle="1" w:styleId="Corpodetexto21">
    <w:name w:val="Corpo de texto 21"/>
    <w:basedOn w:val="Normal"/>
    <w:pPr>
      <w:ind w:firstLine="851"/>
      <w:jc w:val="both"/>
    </w:pPr>
    <w:rPr>
      <w:rFonts w:ascii="Arial" w:hAnsi="Arial"/>
      <w:sz w:val="22"/>
      <w:lang w:eastAsia="pt-BR"/>
    </w:rPr>
  </w:style>
  <w:style w:type="character" w:styleId="Nmerodepgina">
    <w:name w:val="page number"/>
  </w:style>
  <w:style w:type="paragraph" w:customStyle="1" w:styleId="BodyText22">
    <w:name w:val="Body Text 22"/>
    <w:basedOn w:val="Normal"/>
    <w:pPr>
      <w:jc w:val="both"/>
    </w:pPr>
    <w:rPr>
      <w:rFonts w:ascii="Bookman Old Style" w:hAnsi="Bookman Old Style"/>
      <w:color w:val="000000"/>
      <w:sz w:val="28"/>
      <w:lang w:eastAsia="pt-BR"/>
    </w:rPr>
  </w:style>
  <w:style w:type="paragraph" w:styleId="Textoembloco">
    <w:name w:val="Block Text"/>
    <w:basedOn w:val="Normal"/>
    <w:uiPriority w:val="99"/>
    <w:pPr>
      <w:ind w:left="1701" w:right="3170"/>
      <w:jc w:val="both"/>
    </w:pPr>
    <w:rPr>
      <w:sz w:val="24"/>
      <w:lang w:eastAsia="pt-BR"/>
    </w:rPr>
  </w:style>
  <w:style w:type="paragraph" w:customStyle="1" w:styleId="WW-Corpodetexto3">
    <w:name w:val="WW-Corpo de texto 3"/>
    <w:basedOn w:val="Normal"/>
    <w:pPr>
      <w:suppressAutoHyphens/>
      <w:spacing w:after="120"/>
    </w:pPr>
    <w:rPr>
      <w:sz w:val="16"/>
      <w:szCs w:val="16"/>
      <w:lang w:eastAsia="ar-SA"/>
    </w:rPr>
  </w:style>
  <w:style w:type="paragraph" w:customStyle="1" w:styleId="WW-Recuodecorpodetexto2">
    <w:name w:val="WW-Recuo de corpo de texto 2"/>
    <w:basedOn w:val="Normal"/>
    <w:pPr>
      <w:suppressAutoHyphens/>
      <w:ind w:left="2552" w:hanging="567"/>
      <w:jc w:val="both"/>
    </w:pPr>
    <w:rPr>
      <w:sz w:val="24"/>
      <w:lang w:eastAsia="ar-SA"/>
    </w:rPr>
  </w:style>
  <w:style w:type="paragraph" w:customStyle="1" w:styleId="WW-Recuodecorpodetexto21">
    <w:name w:val="WW-Recuo de corpo de texto 21"/>
    <w:basedOn w:val="Normal"/>
    <w:pPr>
      <w:suppressAutoHyphens/>
      <w:ind w:firstLine="1418"/>
      <w:jc w:val="both"/>
    </w:pPr>
    <w:rPr>
      <w:rFonts w:ascii="Arial" w:hAnsi="Arial"/>
      <w:sz w:val="24"/>
      <w:lang w:eastAsia="ar-SA"/>
    </w:rPr>
  </w:style>
  <w:style w:type="paragraph" w:customStyle="1" w:styleId="parag-1">
    <w:name w:val="parag-1"/>
    <w:basedOn w:val="Normal"/>
    <w:pPr>
      <w:suppressAutoHyphens/>
      <w:jc w:val="both"/>
    </w:pPr>
    <w:rPr>
      <w:sz w:val="24"/>
      <w:lang w:eastAsia="ar-SA"/>
    </w:rPr>
  </w:style>
  <w:style w:type="paragraph" w:customStyle="1" w:styleId="WW-Recuodecorpodetexto3">
    <w:name w:val="WW-Recuo de corpo de texto 3"/>
    <w:basedOn w:val="Normal"/>
    <w:pPr>
      <w:suppressAutoHyphens/>
      <w:ind w:left="1418"/>
      <w:jc w:val="both"/>
    </w:pPr>
    <w:rPr>
      <w:sz w:val="24"/>
      <w:lang w:eastAsia="ar-SA"/>
    </w:rPr>
  </w:style>
  <w:style w:type="paragraph" w:customStyle="1" w:styleId="WW-Textoembloco">
    <w:name w:val="WW-Texto em bloco"/>
    <w:basedOn w:val="Normal"/>
    <w:pPr>
      <w:suppressAutoHyphens/>
      <w:ind w:left="1701" w:right="3170"/>
      <w:jc w:val="both"/>
    </w:pPr>
    <w:rPr>
      <w:sz w:val="24"/>
      <w:lang w:eastAsia="ar-SA"/>
    </w:rPr>
  </w:style>
  <w:style w:type="paragraph" w:customStyle="1" w:styleId="WW-Corpodetexto2">
    <w:name w:val="WW-Corpo de texto 2"/>
    <w:basedOn w:val="Normal"/>
    <w:uiPriority w:val="99"/>
    <w:pPr>
      <w:tabs>
        <w:tab w:val="left" w:leader="underscore" w:pos="8789"/>
      </w:tabs>
      <w:suppressAutoHyphens/>
      <w:jc w:val="both"/>
    </w:pPr>
    <w:rPr>
      <w:sz w:val="24"/>
      <w:lang w:eastAsia="ar-SA"/>
    </w:rPr>
  </w:style>
  <w:style w:type="paragraph" w:customStyle="1" w:styleId="Contedodatabela">
    <w:name w:val="Conteúdo da tabela"/>
    <w:basedOn w:val="Normal"/>
    <w:pPr>
      <w:suppressLineNumbers/>
      <w:suppressAutoHyphens/>
    </w:pPr>
    <w:rPr>
      <w:lang w:eastAsia="ar-SA"/>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paragraph" w:styleId="NormalWeb">
    <w:name w:val="Normal (Web)"/>
    <w:basedOn w:val="Normal"/>
    <w:uiPriority w:val="99"/>
    <w:unhideWhenUsed/>
    <w:pPr>
      <w:spacing w:before="100" w:beforeAutospacing="1" w:after="100" w:afterAutospacing="1"/>
    </w:pPr>
    <w:rPr>
      <w:sz w:val="24"/>
      <w:szCs w:val="24"/>
      <w:lang w:eastAsia="pt-BR"/>
    </w:rPr>
  </w:style>
  <w:style w:type="character" w:customStyle="1" w:styleId="WW8Num49z0">
    <w:name w:val="WW8Num49z0"/>
    <w:rPr>
      <w:rFonts w:ascii="Times New Roman" w:hAnsi="Times New Roman"/>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hAnsi="Tahoma" w:cs="Tahoma"/>
      <w:kern w:val="2"/>
      <w:sz w:val="16"/>
      <w:szCs w:val="16"/>
      <w14:ligatures w14:val="standardContextual"/>
    </w:rPr>
  </w:style>
  <w:style w:type="character" w:customStyle="1" w:styleId="TextodebaloChar1">
    <w:name w:val="Texto de balão Char1"/>
    <w:basedOn w:val="Fontepargpadro"/>
    <w:uiPriority w:val="99"/>
    <w:semiHidden/>
    <w:rPr>
      <w:rFonts w:ascii="Segoe UI" w:eastAsia="Times New Roman" w:hAnsi="Segoe UI" w:cs="Segoe UI"/>
      <w:kern w:val="0"/>
      <w:sz w:val="18"/>
      <w:szCs w:val="18"/>
      <w14:ligatures w14:val="none"/>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hAnsi="Arial" w:cs="Arial"/>
    </w:rPr>
  </w:style>
  <w:style w:type="paragraph" w:customStyle="1" w:styleId="Recuodecorpodetexto1">
    <w:name w:val="Recuo de corpo de texto1"/>
    <w:basedOn w:val="Normal"/>
    <w:link w:val="BodyTextIndentChar"/>
    <w:pPr>
      <w:numPr>
        <w:ilvl w:val="1"/>
        <w:numId w:val="14"/>
      </w:numPr>
      <w:tabs>
        <w:tab w:val="clear" w:pos="1440"/>
      </w:tabs>
      <w:spacing w:after="120" w:line="276" w:lineRule="auto"/>
      <w:ind w:left="283" w:firstLine="0"/>
    </w:pPr>
    <w:rPr>
      <w:rFonts w:ascii="Calibri" w:hAnsi="Calibri"/>
      <w:sz w:val="22"/>
      <w:szCs w:val="22"/>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pacing w:after="200" w:line="280" w:lineRule="atLeast"/>
    </w:pPr>
    <w:rPr>
      <w:rFonts w:ascii="Calibri" w:hAnsi="Calibri"/>
      <w:sz w:val="22"/>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suppressAutoHyphens/>
      <w:ind w:firstLine="567"/>
      <w:jc w:val="both"/>
    </w:pPr>
    <w:rPr>
      <w:rFonts w:ascii="Arial" w:hAnsi="Arial"/>
      <w:szCs w:val="24"/>
      <w:lang w:eastAsia="pt-BR"/>
    </w:rPr>
  </w:style>
  <w:style w:type="paragraph" w:styleId="Lista">
    <w:name w:val="List"/>
    <w:basedOn w:val="Normal"/>
    <w:pPr>
      <w:suppressAutoHyphens/>
      <w:ind w:left="283" w:hanging="283"/>
    </w:pPr>
    <w:rPr>
      <w:rFonts w:ascii="Arial" w:hAnsi="Arial"/>
      <w:sz w:val="24"/>
      <w:lang w:eastAsia="ar-SA"/>
    </w:rPr>
  </w:style>
  <w:style w:type="paragraph" w:customStyle="1" w:styleId="style10">
    <w:name w:val="style10"/>
    <w:basedOn w:val="Normal"/>
    <w:pPr>
      <w:spacing w:before="100" w:beforeAutospacing="1" w:after="100" w:afterAutospacing="1"/>
    </w:pPr>
    <w:rPr>
      <w:rFonts w:ascii="Verdana" w:hAnsi="Verdana"/>
      <w:sz w:val="17"/>
      <w:szCs w:val="17"/>
      <w:lang w:eastAsia="pt-BR"/>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pPr>
    <w:rPr>
      <w:rFonts w:ascii="Arial" w:hAnsi="Arial"/>
      <w:sz w:val="24"/>
      <w:lang w:eastAsia="ar-SA"/>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ind w:left="566" w:hanging="283"/>
    </w:pPr>
    <w:rPr>
      <w:lang w:val="pt-PT" w:eastAsia="pt-BR"/>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ind w:left="709" w:hanging="709"/>
      <w:jc w:val="both"/>
    </w:pPr>
    <w:rPr>
      <w:rFonts w:ascii="Arial" w:hAnsi="Arial"/>
      <w:color w:val="000000"/>
      <w:sz w:val="24"/>
      <w:lang w:eastAsia="pt-BR"/>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ind w:left="993" w:hanging="709"/>
      <w:jc w:val="both"/>
    </w:pPr>
    <w:rPr>
      <w:rFonts w:ascii="Arial" w:hAnsi="Arial"/>
      <w:sz w:val="26"/>
      <w:lang w:val="pt-PT" w:eastAsia="pt-BR"/>
    </w:rPr>
  </w:style>
  <w:style w:type="paragraph" w:customStyle="1" w:styleId="tit3">
    <w:name w:val="tit_3"/>
    <w:basedOn w:val="Normal"/>
    <w:pPr>
      <w:spacing w:before="180"/>
      <w:ind w:left="1701" w:hanging="992"/>
      <w:jc w:val="both"/>
    </w:pPr>
    <w:rPr>
      <w:rFonts w:ascii="Courier New" w:hAnsi="Courier New"/>
      <w:sz w:val="24"/>
      <w:lang w:eastAsia="pt-BR"/>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ind w:firstLine="1701"/>
      <w:jc w:val="both"/>
    </w:pPr>
    <w:rPr>
      <w:rFonts w:ascii="Arial" w:hAnsi="Arial"/>
      <w:sz w:val="22"/>
      <w:lang w:val="pt-PT" w:eastAsia="pt-BR"/>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ind w:left="1418" w:hanging="851"/>
      <w:jc w:val="both"/>
    </w:pPr>
    <w:rPr>
      <w:rFonts w:ascii="Arial" w:hAnsi="Arial"/>
      <w:sz w:val="22"/>
      <w:lang w:val="pt-PT" w:eastAsia="pt-BR"/>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ind w:left="993" w:hanging="284"/>
      <w:jc w:val="both"/>
    </w:pPr>
    <w:rPr>
      <w:rFonts w:ascii="Arial" w:hAnsi="Arial"/>
      <w:color w:val="000000"/>
      <w:sz w:val="24"/>
      <w:lang w:eastAsia="pt-BR"/>
    </w:rPr>
  </w:style>
  <w:style w:type="paragraph" w:customStyle="1" w:styleId="marc1">
    <w:name w:val="marc_1"/>
    <w:basedOn w:val="Normal"/>
    <w:pPr>
      <w:spacing w:before="180"/>
      <w:ind w:left="1134" w:hanging="431"/>
      <w:jc w:val="both"/>
    </w:pPr>
    <w:rPr>
      <w:rFonts w:ascii="Courier New" w:hAnsi="Courier New"/>
      <w:sz w:val="24"/>
      <w:lang w:eastAsia="pt-BR"/>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rPr>
      <w:rFonts w:ascii="Courier New" w:hAnsi="Courier New"/>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outlineLvl w:val="6"/>
    </w:pPr>
    <w:rPr>
      <w:b/>
      <w:snapToGrid w:val="0"/>
      <w:sz w:val="16"/>
      <w:lang w:eastAsia="pt-BR"/>
    </w:rPr>
  </w:style>
  <w:style w:type="paragraph" w:customStyle="1" w:styleId="DefinitionTerm">
    <w:name w:val="Definition Term"/>
    <w:basedOn w:val="Normal"/>
    <w:next w:val="DefinitionList"/>
    <w:pPr>
      <w:widowControl w:val="0"/>
    </w:pPr>
    <w:rPr>
      <w:snapToGrid w:val="0"/>
      <w:sz w:val="24"/>
      <w:lang w:eastAsia="pt-BR"/>
    </w:rPr>
  </w:style>
  <w:style w:type="paragraph" w:customStyle="1" w:styleId="DefinitionList">
    <w:name w:val="Definition List"/>
    <w:basedOn w:val="Normal"/>
    <w:next w:val="DefinitionTerm"/>
    <w:pPr>
      <w:widowControl w:val="0"/>
      <w:ind w:left="360"/>
    </w:pPr>
    <w:rPr>
      <w:snapToGrid w:val="0"/>
      <w:sz w:val="24"/>
      <w:lang w:eastAsia="pt-BR"/>
    </w:rPr>
  </w:style>
  <w:style w:type="character" w:customStyle="1" w:styleId="Definition">
    <w:name w:val="Definition"/>
    <w:rPr>
      <w:i/>
    </w:rPr>
  </w:style>
  <w:style w:type="paragraph" w:customStyle="1" w:styleId="H1">
    <w:name w:val="H1"/>
    <w:basedOn w:val="Normal"/>
    <w:next w:val="Normal"/>
    <w:pPr>
      <w:keepNext/>
      <w:widowControl w:val="0"/>
      <w:spacing w:before="100" w:after="100"/>
      <w:outlineLvl w:val="1"/>
    </w:pPr>
    <w:rPr>
      <w:b/>
      <w:snapToGrid w:val="0"/>
      <w:kern w:val="36"/>
      <w:sz w:val="48"/>
      <w:lang w:eastAsia="pt-BR"/>
    </w:rPr>
  </w:style>
  <w:style w:type="paragraph" w:customStyle="1" w:styleId="H2">
    <w:name w:val="H2"/>
    <w:basedOn w:val="Normal"/>
    <w:next w:val="Normal"/>
    <w:pPr>
      <w:keepNext/>
      <w:widowControl w:val="0"/>
      <w:spacing w:before="100" w:after="100"/>
      <w:outlineLvl w:val="2"/>
    </w:pPr>
    <w:rPr>
      <w:b/>
      <w:snapToGrid w:val="0"/>
      <w:sz w:val="36"/>
      <w:lang w:eastAsia="pt-BR"/>
    </w:rPr>
  </w:style>
  <w:style w:type="paragraph" w:customStyle="1" w:styleId="H3">
    <w:name w:val="H3"/>
    <w:basedOn w:val="Normal"/>
    <w:next w:val="Normal"/>
    <w:pPr>
      <w:keepNext/>
      <w:widowControl w:val="0"/>
      <w:spacing w:before="100" w:after="100"/>
      <w:outlineLvl w:val="3"/>
    </w:pPr>
    <w:rPr>
      <w:b/>
      <w:snapToGrid w:val="0"/>
      <w:sz w:val="28"/>
      <w:lang w:eastAsia="pt-BR"/>
    </w:rPr>
  </w:style>
  <w:style w:type="paragraph" w:customStyle="1" w:styleId="H4">
    <w:name w:val="H4"/>
    <w:basedOn w:val="Normal"/>
    <w:next w:val="Normal"/>
    <w:pPr>
      <w:keepNext/>
      <w:widowControl w:val="0"/>
      <w:spacing w:before="100" w:after="100"/>
      <w:outlineLvl w:val="4"/>
    </w:pPr>
    <w:rPr>
      <w:b/>
      <w:snapToGrid w:val="0"/>
      <w:sz w:val="24"/>
      <w:lang w:eastAsia="pt-BR"/>
    </w:rPr>
  </w:style>
  <w:style w:type="paragraph" w:customStyle="1" w:styleId="H5">
    <w:name w:val="H5"/>
    <w:basedOn w:val="Normal"/>
    <w:next w:val="Normal"/>
    <w:pPr>
      <w:keepNext/>
      <w:widowControl w:val="0"/>
      <w:spacing w:before="100" w:after="100"/>
      <w:outlineLvl w:val="5"/>
    </w:pPr>
    <w:rPr>
      <w:b/>
      <w:snapToGrid w:val="0"/>
      <w:lang w:eastAsia="pt-BR"/>
    </w:rPr>
  </w:style>
  <w:style w:type="paragraph" w:customStyle="1" w:styleId="Address">
    <w:name w:val="Address"/>
    <w:basedOn w:val="Normal"/>
    <w:next w:val="Normal"/>
    <w:pPr>
      <w:widowControl w:val="0"/>
    </w:pPr>
    <w:rPr>
      <w:i/>
      <w:snapToGrid w:val="0"/>
      <w:sz w:val="24"/>
      <w:lang w:eastAsia="pt-BR"/>
    </w:rPr>
  </w:style>
  <w:style w:type="paragraph" w:customStyle="1" w:styleId="Blockquote">
    <w:name w:val="Blockquote"/>
    <w:basedOn w:val="Normal"/>
    <w:pPr>
      <w:widowControl w:val="0"/>
      <w:spacing w:before="100" w:after="100"/>
      <w:ind w:left="360" w:right="360"/>
    </w:pPr>
    <w:rPr>
      <w:snapToGrid w:val="0"/>
      <w:sz w:val="24"/>
      <w:lang w:eastAsia="pt-BR"/>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lang w:eastAsia="pt-BR"/>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jc w:val="both"/>
    </w:pPr>
    <w:rPr>
      <w:rFonts w:ascii="Arial" w:hAnsi="Arial"/>
      <w:sz w:val="24"/>
      <w:lang w:eastAsia="ar-SA"/>
    </w:rPr>
  </w:style>
  <w:style w:type="paragraph" w:customStyle="1" w:styleId="Recuodecorpodetexto21">
    <w:name w:val="Recuo de corpo de texto 21"/>
    <w:basedOn w:val="Normal"/>
    <w:pPr>
      <w:suppressAutoHyphens/>
      <w:ind w:left="3828"/>
      <w:jc w:val="both"/>
    </w:pPr>
    <w:rPr>
      <w:rFonts w:ascii="Arial" w:hAnsi="Arial"/>
      <w:b/>
      <w:color w:val="000000"/>
      <w:sz w:val="22"/>
      <w:lang w:eastAsia="ar-SA"/>
    </w:rPr>
  </w:style>
  <w:style w:type="paragraph" w:customStyle="1" w:styleId="Textoembloco1">
    <w:name w:val="Texto em bloco1"/>
    <w:basedOn w:val="Normal"/>
    <w:pPr>
      <w:suppressAutoHyphens/>
      <w:ind w:left="3402" w:right="23"/>
      <w:jc w:val="both"/>
    </w:pPr>
    <w:rPr>
      <w:b/>
      <w:sz w:val="22"/>
      <w:lang w:eastAsia="ar-SA"/>
    </w:rPr>
  </w:style>
  <w:style w:type="paragraph" w:customStyle="1" w:styleId="p41">
    <w:name w:val="p41"/>
    <w:basedOn w:val="Normal"/>
    <w:pPr>
      <w:widowControl w:val="0"/>
      <w:tabs>
        <w:tab w:val="left" w:pos="660"/>
        <w:tab w:val="left" w:pos="1120"/>
      </w:tabs>
      <w:suppressAutoHyphens/>
      <w:spacing w:line="280" w:lineRule="atLeast"/>
      <w:ind w:left="1440" w:firstLine="720"/>
      <w:jc w:val="both"/>
    </w:pPr>
    <w:rPr>
      <w:sz w:val="24"/>
      <w:lang w:eastAsia="ar-SA"/>
    </w:rPr>
  </w:style>
  <w:style w:type="paragraph" w:customStyle="1" w:styleId="Recuodecorpodetexto31">
    <w:name w:val="Recuo de corpo de texto 31"/>
    <w:basedOn w:val="Normal"/>
    <w:pPr>
      <w:suppressAutoHyphens/>
      <w:spacing w:after="120"/>
      <w:ind w:left="283"/>
    </w:pPr>
    <w:rPr>
      <w:sz w:val="16"/>
      <w:szCs w:val="16"/>
    </w:rPr>
  </w:style>
  <w:style w:type="paragraph" w:customStyle="1" w:styleId="Corpodetexto211">
    <w:name w:val="Corpo de texto 211"/>
    <w:basedOn w:val="Normal"/>
    <w:uiPriority w:val="99"/>
    <w:pPr>
      <w:suppressAutoHyphens/>
      <w:spacing w:line="360" w:lineRule="auto"/>
      <w:jc w:val="both"/>
    </w:pPr>
    <w:rPr>
      <w:rFonts w:ascii="Courier New" w:hAnsi="Courier New"/>
      <w:color w:val="000000"/>
      <w:sz w:val="22"/>
    </w:rPr>
  </w:style>
  <w:style w:type="paragraph" w:customStyle="1" w:styleId="contrato">
    <w:name w:val="contrato"/>
    <w:basedOn w:val="Normal"/>
    <w:pPr>
      <w:jc w:val="both"/>
    </w:pPr>
    <w:rPr>
      <w:rFonts w:ascii="Arial" w:hAnsi="Arial"/>
      <w:sz w:val="22"/>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pPr>
    <w:rPr>
      <w:rFonts w:ascii="Arial" w:hAnsi="Arial" w:cs="Arial"/>
      <w:b/>
      <w:bCs/>
      <w:sz w:val="24"/>
      <w:szCs w:val="24"/>
      <w:lang w:eastAsia="ar-SA"/>
    </w:rPr>
  </w:style>
  <w:style w:type="paragraph" w:customStyle="1" w:styleId="Normal1">
    <w:name w:val="Normal1"/>
    <w:basedOn w:val="Normal"/>
    <w:pPr>
      <w:widowControl w:val="0"/>
      <w:suppressAutoHyphens/>
      <w:autoSpaceDE w:val="0"/>
    </w:pPr>
    <w:rPr>
      <w:rFonts w:ascii="Verdana-Bold" w:eastAsia="Calibri" w:hAnsi="Verdana-Bold" w:cs="Verdana-Bold"/>
      <w:lang w:eastAsia="ar-SA"/>
    </w:rPr>
  </w:style>
  <w:style w:type="paragraph" w:customStyle="1" w:styleId="Corpodetexto22">
    <w:name w:val="Corpo de texto 22"/>
    <w:basedOn w:val="Normal"/>
    <w:uiPriority w:val="99"/>
    <w:pPr>
      <w:ind w:hanging="1134"/>
      <w:jc w:val="both"/>
    </w:pPr>
    <w:rPr>
      <w:rFonts w:ascii="Arial" w:hAnsi="Arial" w:cs="Arial"/>
      <w:kern w:val="1"/>
      <w:lang w:eastAsia="ar-SA"/>
    </w:rPr>
  </w:style>
  <w:style w:type="paragraph" w:customStyle="1" w:styleId="WW-Default">
    <w:name w:val="WW-Default"/>
    <w:basedOn w:val="Normal"/>
    <w:uiPriority w:val="99"/>
    <w:pPr>
      <w:widowControl w:val="0"/>
      <w:suppressAutoHyphens/>
      <w:autoSpaceDE w:val="0"/>
    </w:pPr>
    <w:rPr>
      <w:rFonts w:ascii="Verdana-Bold" w:hAnsi="Verdana-Bold" w:cs="Verdana-Bold"/>
      <w:kern w:val="1"/>
      <w:lang w:eastAsia="ar-SA"/>
    </w:rPr>
  </w:style>
  <w:style w:type="character" w:styleId="HiperlinkVisitado">
    <w:name w:val="FollowedHyperlink"/>
    <w:basedOn w:val="Fontepargpadro"/>
    <w:uiPriority w:val="99"/>
    <w:unhideWhenUsed/>
    <w:rPr>
      <w:color w:val="954F72" w:themeColor="followedHyperlink"/>
      <w:u w:val="single"/>
    </w:rPr>
  </w:style>
  <w:style w:type="paragraph" w:customStyle="1" w:styleId="msonormal0">
    <w:name w:val="msonormal"/>
    <w:basedOn w:val="Normal"/>
    <w:pPr>
      <w:spacing w:before="100" w:beforeAutospacing="1" w:after="100" w:afterAutospacing="1"/>
    </w:pPr>
    <w:rPr>
      <w:sz w:val="24"/>
      <w:szCs w:val="24"/>
      <w:lang w:eastAsia="pt-BR"/>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pPr>
      <w:widowControl w:val="0"/>
    </w:pPr>
    <w:rPr>
      <w:rFonts w:asciiTheme="minorHAnsi" w:eastAsiaTheme="minorHAnsi" w:hAnsiTheme="minorHAnsi" w:cstheme="minorBidi"/>
      <w:sz w:val="22"/>
      <w:szCs w:val="22"/>
      <w:lang w:val="en-US"/>
    </w:rPr>
  </w:style>
  <w:style w:type="paragraph" w:customStyle="1" w:styleId="Item111">
    <w:name w:val="Item 1.1.1"/>
    <w:basedOn w:val="Normal"/>
    <w:uiPriority w:val="99"/>
    <w:pPr>
      <w:widowControl w:val="0"/>
      <w:tabs>
        <w:tab w:val="left" w:pos="2127"/>
        <w:tab w:val="left" w:pos="3119"/>
      </w:tabs>
      <w:autoSpaceDE w:val="0"/>
      <w:spacing w:before="120"/>
      <w:jc w:val="both"/>
    </w:pPr>
    <w:rPr>
      <w:rFonts w:ascii="Arial" w:hAnsi="Arial"/>
      <w:sz w:val="22"/>
      <w:lang w:eastAsia="ar-SA"/>
    </w:rPr>
  </w:style>
  <w:style w:type="paragraph" w:customStyle="1" w:styleId="Cabealhoencabezado">
    <w:name w:val="Cabeçalho.encabezado"/>
    <w:basedOn w:val="Normal"/>
    <w:pPr>
      <w:tabs>
        <w:tab w:val="center" w:pos="4419"/>
        <w:tab w:val="right" w:pos="8838"/>
      </w:tabs>
      <w:suppressAutoHyphens/>
    </w:pPr>
    <w:rPr>
      <w:rFonts w:ascii="Arial" w:hAnsi="Arial"/>
      <w:sz w:val="24"/>
      <w:lang w:eastAsia="ar-SA"/>
    </w:rPr>
  </w:style>
  <w:style w:type="paragraph" w:customStyle="1" w:styleId="NormalCourierNew">
    <w:name w:val="Normal + Courier New"/>
    <w:aliases w:val="Justificado,À direita:  -0,96 cm"/>
    <w:basedOn w:val="Normal"/>
    <w:uiPriority w:val="99"/>
    <w:pPr>
      <w:numPr>
        <w:numId w:val="15"/>
      </w:numPr>
      <w:suppressAutoHyphens/>
      <w:ind w:right="-547"/>
      <w:jc w:val="both"/>
    </w:pPr>
    <w:rPr>
      <w:rFonts w:ascii="Courier New" w:hAnsi="Courier New" w:cs="Courier New"/>
      <w:lang w:eastAsia="ar-SA"/>
    </w:rPr>
  </w:style>
  <w:style w:type="character" w:customStyle="1" w:styleId="style381">
    <w:name w:val="style381"/>
    <w:rPr>
      <w:sz w:val="14"/>
      <w:szCs w:val="14"/>
    </w:rPr>
  </w:style>
  <w:style w:type="character" w:customStyle="1" w:styleId="headsmall">
    <w:name w:val="headsmall"/>
    <w:basedOn w:val="Fontepargpadro"/>
  </w:style>
  <w:style w:type="table" w:customStyle="1" w:styleId="TableNormal">
    <w:name w:val="Table Normal"/>
    <w:uiPriority w:val="2"/>
    <w:qFormat/>
    <w:pPr>
      <w:widowControl w:val="0"/>
      <w:spacing w:after="0" w:line="240" w:lineRule="auto"/>
    </w:pPr>
    <w:rPr>
      <w:kern w:val="0"/>
      <w:lang w:val="en-US"/>
      <w14:ligatures w14:val="none"/>
    </w:rPr>
    <w:tblPr>
      <w:tblCellMar>
        <w:top w:w="0" w:type="dxa"/>
        <w:left w:w="0" w:type="dxa"/>
        <w:bottom w:w="0" w:type="dxa"/>
        <w:right w:w="0" w:type="dxa"/>
      </w:tblCellMar>
    </w:tblPr>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jc w:val="both"/>
    </w:pPr>
    <w:rPr>
      <w:rFonts w:ascii="Tms Rmn" w:hAnsi="Tms Rmn"/>
      <w:sz w:val="24"/>
      <w:lang w:eastAsia="ar-SA"/>
    </w:rPr>
  </w:style>
  <w:style w:type="character" w:styleId="Refdecomentrio">
    <w:name w:val="annotation reference"/>
    <w:uiPriority w:val="99"/>
    <w:rPr>
      <w:sz w:val="16"/>
      <w:szCs w:val="16"/>
    </w:rPr>
  </w:style>
  <w:style w:type="paragraph" w:styleId="Textodecomentrio">
    <w:name w:val="annotation text"/>
    <w:basedOn w:val="Normal"/>
    <w:link w:val="TextodecomentrioChar"/>
    <w:uiPriority w:val="99"/>
    <w:rPr>
      <w:lang w:eastAsia="pt-BR"/>
    </w:rPr>
  </w:style>
  <w:style w:type="character" w:customStyle="1" w:styleId="TextodecomentrioChar">
    <w:name w:val="Texto de comentário Char"/>
    <w:basedOn w:val="Fontepargpadro"/>
    <w:link w:val="Textodecomentrio"/>
    <w:uiPriority w:val="99"/>
    <w:rPr>
      <w:rFonts w:ascii="Times New Roman" w:eastAsia="Times New Roman" w:hAnsi="Times New Roman" w:cs="Times New Roman"/>
      <w:kern w:val="0"/>
      <w:sz w:val="20"/>
      <w:szCs w:val="20"/>
      <w:lang w:eastAsia="pt-BR"/>
      <w14:ligatures w14:val="none"/>
    </w:rPr>
  </w:style>
  <w:style w:type="paragraph" w:styleId="Assuntodocomentrio">
    <w:name w:val="annotation subject"/>
    <w:basedOn w:val="Textodecomentrio"/>
    <w:next w:val="Textodecomentrio"/>
    <w:link w:val="AssuntodocomentrioChar"/>
    <w:uiPriority w:val="99"/>
    <w:rPr>
      <w:b/>
      <w:bCs/>
    </w:rPr>
  </w:style>
  <w:style w:type="character" w:customStyle="1" w:styleId="AssuntodocomentrioChar">
    <w:name w:val="Assunto do comentário Char"/>
    <w:basedOn w:val="TextodecomentrioChar"/>
    <w:link w:val="Assuntodocomentrio"/>
    <w:uiPriority w:val="99"/>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pacing w:before="100" w:beforeAutospacing="1" w:after="100" w:afterAutospacing="1"/>
      <w:jc w:val="center"/>
    </w:pPr>
    <w:rPr>
      <w:rFonts w:ascii="Arial" w:eastAsia="Arial Unicode MS" w:hAnsi="Arial"/>
      <w:sz w:val="24"/>
      <w:szCs w:val="24"/>
      <w:lang w:eastAsia="pt-BR"/>
    </w:rPr>
  </w:style>
  <w:style w:type="paragraph" w:customStyle="1" w:styleId="font5">
    <w:name w:val="font5"/>
    <w:basedOn w:val="Normal"/>
    <w:pPr>
      <w:spacing w:before="100" w:beforeAutospacing="1" w:after="100" w:afterAutospacing="1"/>
    </w:pPr>
    <w:rPr>
      <w:rFonts w:ascii="Calibri" w:hAnsi="Calibri"/>
      <w:color w:val="000000"/>
      <w:sz w:val="18"/>
      <w:szCs w:val="18"/>
      <w:lang w:eastAsia="pt-BR"/>
    </w:rPr>
  </w:style>
  <w:style w:type="paragraph" w:customStyle="1" w:styleId="font6">
    <w:name w:val="font6"/>
    <w:basedOn w:val="Normal"/>
    <w:pPr>
      <w:spacing w:before="100" w:beforeAutospacing="1" w:after="100" w:afterAutospacing="1"/>
    </w:pPr>
    <w:rPr>
      <w:rFonts w:ascii="Calibri" w:hAnsi="Calibri"/>
      <w:color w:val="000000"/>
      <w:sz w:val="18"/>
      <w:szCs w:val="18"/>
      <w:lang w:eastAsia="pt-BR"/>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18"/>
      <w:szCs w:val="18"/>
      <w:lang w:eastAsia="pt-BR"/>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textAlignment w:val="center"/>
    </w:pPr>
    <w:rPr>
      <w:color w:val="000000"/>
      <w:sz w:val="18"/>
      <w:szCs w:val="18"/>
      <w:lang w:eastAsia="pt-BR"/>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18"/>
      <w:szCs w:val="18"/>
      <w:lang w:eastAsia="pt-BR"/>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jc w:val="both"/>
      <w:textAlignment w:val="center"/>
    </w:pPr>
    <w:rPr>
      <w:color w:val="000000"/>
      <w:sz w:val="18"/>
      <w:szCs w:val="18"/>
      <w:lang w:eastAsia="pt-BR"/>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18"/>
      <w:szCs w:val="18"/>
      <w:lang w:eastAsia="pt-BR"/>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FF0000"/>
      <w:sz w:val="18"/>
      <w:szCs w:val="18"/>
      <w:lang w:eastAsia="pt-BR"/>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74">
    <w:name w:val="xl74"/>
    <w:basedOn w:val="Normal"/>
    <w:pPr>
      <w:pBdr>
        <w:top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b/>
      <w:bCs/>
      <w:color w:val="000000"/>
      <w:sz w:val="18"/>
      <w:szCs w:val="18"/>
      <w:lang w:eastAsia="pt-BR"/>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line="260" w:lineRule="exact"/>
    </w:pPr>
    <w:rPr>
      <w:rFonts w:ascii="Arial" w:hAnsi="Arial" w:cs="Arial"/>
      <w:szCs w:val="24"/>
      <w:lang w:eastAsia="pt-BR"/>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pPr>
    <w:rPr>
      <w:rFonts w:ascii="Arial" w:eastAsia="Lucida Sans Unicode" w:hAnsi="Arial" w:cs="Tahoma"/>
      <w:sz w:val="28"/>
      <w:szCs w:val="28"/>
      <w:lang w:eastAsia="ar-SA"/>
    </w:rPr>
  </w:style>
  <w:style w:type="paragraph" w:styleId="Legenda">
    <w:name w:val="caption"/>
    <w:basedOn w:val="Normal"/>
    <w:qFormat/>
    <w:pPr>
      <w:suppressLineNumbers/>
      <w:suppressAutoHyphens/>
      <w:spacing w:before="120" w:after="120"/>
    </w:pPr>
    <w:rPr>
      <w:rFonts w:cs="Tahoma"/>
      <w:i/>
      <w:iCs/>
      <w:sz w:val="24"/>
      <w:szCs w:val="24"/>
      <w:lang w:eastAsia="ar-SA"/>
    </w:rPr>
  </w:style>
  <w:style w:type="paragraph" w:customStyle="1" w:styleId="ndice">
    <w:name w:val="Índice"/>
    <w:basedOn w:val="Normal"/>
    <w:pPr>
      <w:suppressLineNumbers/>
      <w:suppressAutoHyphens/>
    </w:pPr>
    <w:rPr>
      <w:rFonts w:cs="Tahoma"/>
      <w:lang w:eastAsia="ar-SA"/>
    </w:rPr>
  </w:style>
  <w:style w:type="paragraph" w:customStyle="1" w:styleId="Captulo">
    <w:name w:val="Capítulo"/>
    <w:basedOn w:val="Normal"/>
    <w:next w:val="Corpodetexto"/>
    <w:pPr>
      <w:keepNext/>
      <w:suppressAutoHyphens/>
      <w:spacing w:before="240" w:after="120"/>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pPr>
    <w:rPr>
      <w:rFonts w:ascii="Arial" w:eastAsia="Arial Unicode MS" w:hAnsi="Arial" w:cs="Mangal"/>
      <w:sz w:val="28"/>
      <w:szCs w:val="28"/>
      <w:lang w:eastAsia="ar-SA"/>
    </w:rPr>
  </w:style>
  <w:style w:type="paragraph" w:customStyle="1" w:styleId="Legenda1">
    <w:name w:val="Legenda1"/>
    <w:basedOn w:val="Normal"/>
    <w:next w:val="Normal"/>
    <w:pPr>
      <w:suppressAutoHyphens/>
      <w:jc w:val="center"/>
    </w:pPr>
    <w:rPr>
      <w:rFonts w:ascii="Arial" w:hAnsi="Arial" w:cs="Arial"/>
      <w:sz w:val="28"/>
      <w:lang w:eastAsia="ar-SA"/>
    </w:rPr>
  </w:style>
  <w:style w:type="paragraph" w:customStyle="1" w:styleId="Contedodetabela">
    <w:name w:val="Conteúdo de tabela"/>
    <w:basedOn w:val="Normal"/>
    <w:pPr>
      <w:suppressLineNumbers/>
      <w:suppressAutoHyphens/>
    </w:pPr>
    <w:rPr>
      <w:lang w:eastAsia="ar-SA"/>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jc w:val="both"/>
      <w:textAlignment w:val="baseline"/>
    </w:pPr>
    <w:rPr>
      <w:rFonts w:ascii="Arial" w:hAnsi="Arial"/>
      <w:spacing w:val="-3"/>
      <w:sz w:val="24"/>
      <w:lang w:val="en-US" w:eastAsia="pt-BR"/>
    </w:rPr>
  </w:style>
  <w:style w:type="paragraph" w:customStyle="1" w:styleId="PargrafodaLista1">
    <w:name w:val="Parágrafo da Lista1"/>
    <w:basedOn w:val="Normal"/>
    <w:pPr>
      <w:spacing w:after="200" w:line="276" w:lineRule="auto"/>
      <w:ind w:left="720"/>
    </w:pPr>
    <w:rPr>
      <w:rFonts w:ascii="Calibri" w:hAnsi="Calibri"/>
      <w:sz w:val="22"/>
      <w:szCs w:val="22"/>
      <w:lang w:eastAsia="pt-BR"/>
    </w:rPr>
  </w:style>
  <w:style w:type="paragraph" w:customStyle="1" w:styleId="font7">
    <w:name w:val="font7"/>
    <w:basedOn w:val="Normal"/>
    <w:pPr>
      <w:spacing w:before="100" w:beforeAutospacing="1" w:after="100" w:afterAutospacing="1"/>
    </w:pPr>
    <w:rPr>
      <w:rFonts w:ascii="Calibri" w:hAnsi="Calibri" w:cs="Calibri"/>
      <w:b/>
      <w:bCs/>
      <w:u w:val="single"/>
      <w:lang w:eastAsia="pt-BR"/>
    </w:rPr>
  </w:style>
  <w:style w:type="paragraph" w:customStyle="1" w:styleId="font8">
    <w:name w:val="font8"/>
    <w:basedOn w:val="Normal"/>
    <w:pPr>
      <w:spacing w:before="100" w:beforeAutospacing="1" w:after="100" w:afterAutospacing="1"/>
    </w:pPr>
    <w:rPr>
      <w:rFonts w:ascii="Calibri" w:hAnsi="Calibri" w:cs="Calibri"/>
      <w:b/>
      <w:bCs/>
      <w:lang w:eastAsia="pt-BR"/>
    </w:rPr>
  </w:style>
  <w:style w:type="paragraph" w:customStyle="1" w:styleId="font9">
    <w:name w:val="font9"/>
    <w:basedOn w:val="Normal"/>
    <w:pPr>
      <w:spacing w:before="100" w:beforeAutospacing="1" w:after="100" w:afterAutospacing="1"/>
    </w:pPr>
    <w:rPr>
      <w:rFonts w:ascii="Calibri" w:hAnsi="Calibri" w:cs="Calibri"/>
      <w:u w:val="single"/>
      <w:lang w:eastAsia="pt-BR"/>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pt-BR"/>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pt-BR"/>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lang w:eastAsia="pt-BR"/>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pt-BR"/>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pt-BR"/>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90">
    <w:name w:val="xl90"/>
    <w:basedOn w:val="Normal"/>
    <w:pPr>
      <w:pBdr>
        <w:bottom w:val="single" w:sz="4" w:space="0" w:color="auto"/>
      </w:pBdr>
      <w:spacing w:before="100" w:beforeAutospacing="1" w:after="100" w:afterAutospacing="1"/>
      <w:jc w:val="center"/>
      <w:textAlignment w:val="center"/>
    </w:pPr>
    <w:rPr>
      <w:b/>
      <w:bCs/>
      <w:lang w:eastAsia="pt-BR"/>
    </w:rPr>
  </w:style>
  <w:style w:type="paragraph" w:customStyle="1" w:styleId="xl91">
    <w:name w:val="xl91"/>
    <w:basedOn w:val="Normal"/>
    <w:pPr>
      <w:pBdr>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95">
    <w:name w:val="xl95"/>
    <w:basedOn w:val="Normal"/>
    <w:pPr>
      <w:spacing w:before="100" w:beforeAutospacing="1" w:after="100" w:afterAutospacing="1"/>
      <w:jc w:val="center"/>
      <w:textAlignment w:val="center"/>
    </w:pPr>
    <w:rPr>
      <w:b/>
      <w:bCs/>
      <w:color w:val="FF0000"/>
      <w:lang w:eastAsia="pt-BR"/>
    </w:rPr>
  </w:style>
  <w:style w:type="paragraph" w:customStyle="1" w:styleId="xl96">
    <w:name w:val="xl96"/>
    <w:basedOn w:val="Normal"/>
    <w:pPr>
      <w:spacing w:before="100" w:beforeAutospacing="1" w:after="100" w:afterAutospacing="1"/>
      <w:jc w:val="center"/>
      <w:textAlignment w:val="center"/>
    </w:pPr>
    <w:rPr>
      <w:b/>
      <w:bCs/>
      <w:color w:val="FF0000"/>
      <w:lang w:eastAsia="pt-BR"/>
    </w:rPr>
  </w:style>
  <w:style w:type="paragraph" w:customStyle="1" w:styleId="xl97">
    <w:name w:val="xl97"/>
    <w:basedOn w:val="Normal"/>
    <w:pPr>
      <w:spacing w:before="100" w:beforeAutospacing="1" w:after="100" w:afterAutospacing="1"/>
      <w:jc w:val="center"/>
      <w:textAlignment w:val="center"/>
    </w:pPr>
    <w:rPr>
      <w:b/>
      <w:bCs/>
      <w:color w:val="FF0000"/>
      <w:lang w:eastAsia="pt-BR"/>
    </w:rPr>
  </w:style>
  <w:style w:type="paragraph" w:customStyle="1" w:styleId="xl98">
    <w:name w:val="xl98"/>
    <w:basedOn w:val="Normal"/>
    <w:pPr>
      <w:spacing w:before="100" w:beforeAutospacing="1" w:after="100" w:afterAutospacing="1"/>
      <w:jc w:val="center"/>
      <w:textAlignment w:val="center"/>
    </w:pPr>
    <w:rPr>
      <w:b/>
      <w:bCs/>
      <w:color w:val="FF0000"/>
      <w:lang w:eastAsia="pt-BR"/>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lang w:eastAsia="pt-BR"/>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lang w:eastAsia="pt-BR"/>
    </w:rPr>
  </w:style>
  <w:style w:type="paragraph" w:customStyle="1" w:styleId="xl101">
    <w:name w:val="xl101"/>
    <w:basedOn w:val="Normal"/>
    <w:pPr>
      <w:spacing w:before="100" w:beforeAutospacing="1" w:after="100" w:afterAutospacing="1"/>
      <w:jc w:val="center"/>
    </w:pPr>
    <w:rPr>
      <w:color w:val="FF0000"/>
      <w:lang w:eastAsia="pt-BR"/>
    </w:rPr>
  </w:style>
  <w:style w:type="paragraph" w:customStyle="1" w:styleId="xl102">
    <w:name w:val="xl102"/>
    <w:basedOn w:val="Normal"/>
    <w:pPr>
      <w:spacing w:before="100" w:beforeAutospacing="1" w:after="100" w:afterAutospacing="1"/>
      <w:jc w:val="both"/>
      <w:textAlignment w:val="center"/>
    </w:pPr>
    <w:rPr>
      <w:color w:val="FF0000"/>
      <w:lang w:eastAsia="pt-BR"/>
    </w:rPr>
  </w:style>
  <w:style w:type="paragraph" w:customStyle="1" w:styleId="xl103">
    <w:name w:val="xl103"/>
    <w:basedOn w:val="Normal"/>
    <w:pPr>
      <w:spacing w:before="100" w:beforeAutospacing="1" w:after="100" w:afterAutospacing="1"/>
      <w:jc w:val="center"/>
    </w:pPr>
    <w:rPr>
      <w:color w:val="FF0000"/>
      <w:lang w:eastAsia="pt-BR"/>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pt-BR"/>
    </w:rPr>
  </w:style>
  <w:style w:type="paragraph" w:customStyle="1" w:styleId="xl106">
    <w:name w:val="xl106"/>
    <w:basedOn w:val="Normal"/>
    <w:pPr>
      <w:pBdr>
        <w:top w:val="single" w:sz="4" w:space="0" w:color="auto"/>
        <w:bottom w:val="single" w:sz="4" w:space="0" w:color="auto"/>
      </w:pBdr>
      <w:spacing w:before="100" w:beforeAutospacing="1" w:after="100" w:afterAutospacing="1"/>
      <w:jc w:val="center"/>
      <w:textAlignment w:val="center"/>
    </w:pPr>
    <w:rPr>
      <w:b/>
      <w:bCs/>
      <w:lang w:eastAsia="pt-BR"/>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u w:val="single"/>
      <w:lang w:eastAsia="pt-BR"/>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110">
    <w:name w:val="xl110"/>
    <w:basedOn w:val="Normal"/>
    <w:pPr>
      <w:spacing w:before="100" w:beforeAutospacing="1" w:after="100" w:afterAutospacing="1"/>
      <w:jc w:val="center"/>
    </w:pPr>
    <w:rPr>
      <w:lang w:eastAsia="pt-BR"/>
    </w:rPr>
  </w:style>
  <w:style w:type="paragraph" w:customStyle="1" w:styleId="xl111">
    <w:name w:val="xl111"/>
    <w:basedOn w:val="Normal"/>
    <w:pPr>
      <w:spacing w:before="100" w:beforeAutospacing="1" w:after="100" w:afterAutospacing="1"/>
      <w:jc w:val="both"/>
      <w:textAlignment w:val="center"/>
    </w:pPr>
    <w:rPr>
      <w:lang w:eastAsia="pt-BR"/>
    </w:rPr>
  </w:style>
  <w:style w:type="paragraph" w:customStyle="1" w:styleId="xl112">
    <w:name w:val="xl112"/>
    <w:basedOn w:val="Normal"/>
    <w:pPr>
      <w:spacing w:before="100" w:beforeAutospacing="1" w:after="100" w:afterAutospacing="1"/>
    </w:pPr>
    <w:rPr>
      <w:lang w:eastAsia="pt-BR"/>
    </w:rPr>
  </w:style>
  <w:style w:type="paragraph" w:customStyle="1" w:styleId="xl113">
    <w:name w:val="xl113"/>
    <w:basedOn w:val="Normal"/>
    <w:pPr>
      <w:spacing w:before="100" w:beforeAutospacing="1" w:after="100" w:afterAutospacing="1"/>
    </w:pPr>
    <w:rPr>
      <w:b/>
      <w:bCs/>
      <w:lang w:eastAsia="pt-BR"/>
    </w:rPr>
  </w:style>
  <w:style w:type="paragraph" w:customStyle="1" w:styleId="xl114">
    <w:name w:val="xl114"/>
    <w:basedOn w:val="Normal"/>
    <w:pPr>
      <w:spacing w:before="100" w:beforeAutospacing="1" w:after="100" w:afterAutospacing="1"/>
      <w:jc w:val="center"/>
    </w:pPr>
    <w:rPr>
      <w:lang w:eastAsia="pt-BR"/>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lang w:eastAsia="pt-BR"/>
    </w:rPr>
  </w:style>
  <w:style w:type="paragraph" w:customStyle="1" w:styleId="xl116">
    <w:name w:val="xl116"/>
    <w:basedOn w:val="Normal"/>
    <w:pPr>
      <w:spacing w:before="100" w:beforeAutospacing="1" w:after="100" w:afterAutospacing="1"/>
      <w:jc w:val="center"/>
    </w:pPr>
    <w:rPr>
      <w:b/>
      <w:bCs/>
      <w:lang w:eastAsia="pt-BR"/>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b/>
      <w:bCs/>
      <w:u w:val="single"/>
      <w:lang w:eastAsia="pt-BR"/>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u w:val="single"/>
      <w:lang w:eastAsia="pt-BR"/>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eastAsia="pt-BR"/>
    </w:rPr>
  </w:style>
  <w:style w:type="paragraph" w:customStyle="1" w:styleId="xl120">
    <w:name w:val="xl120"/>
    <w:basedOn w:val="Normal"/>
    <w:pPr>
      <w:spacing w:before="100" w:beforeAutospacing="1" w:after="100" w:afterAutospacing="1"/>
      <w:jc w:val="center"/>
      <w:textAlignment w:val="center"/>
    </w:pPr>
    <w:rPr>
      <w:b/>
      <w:bCs/>
      <w:lang w:eastAsia="pt-BR"/>
    </w:rPr>
  </w:style>
  <w:style w:type="paragraph" w:customStyle="1" w:styleId="xl121">
    <w:name w:val="xl121"/>
    <w:basedOn w:val="Normal"/>
    <w:pPr>
      <w:spacing w:before="100" w:beforeAutospacing="1" w:after="100" w:afterAutospacing="1"/>
      <w:jc w:val="center"/>
      <w:textAlignment w:val="center"/>
    </w:pPr>
    <w:rPr>
      <w:b/>
      <w:bCs/>
      <w:lang w:eastAsia="pt-BR"/>
    </w:rPr>
  </w:style>
  <w:style w:type="paragraph" w:customStyle="1" w:styleId="xl122">
    <w:name w:val="xl122"/>
    <w:basedOn w:val="Normal"/>
    <w:pPr>
      <w:spacing w:before="100" w:beforeAutospacing="1" w:after="100" w:afterAutospacing="1"/>
      <w:jc w:val="center"/>
      <w:textAlignment w:val="center"/>
    </w:pPr>
    <w:rPr>
      <w:b/>
      <w:bCs/>
      <w:lang w:eastAsia="pt-BR"/>
    </w:rPr>
  </w:style>
  <w:style w:type="paragraph" w:customStyle="1" w:styleId="xl123">
    <w:name w:val="xl123"/>
    <w:basedOn w:val="Normal"/>
    <w:pPr>
      <w:spacing w:before="100" w:beforeAutospacing="1" w:after="100" w:afterAutospacing="1"/>
      <w:jc w:val="center"/>
      <w:textAlignment w:val="center"/>
    </w:pPr>
    <w:rPr>
      <w:b/>
      <w:bCs/>
      <w:lang w:eastAsia="pt-BR"/>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pt-BR"/>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u w:val="single"/>
      <w:lang w:eastAsia="pt-BR"/>
    </w:rPr>
  </w:style>
  <w:style w:type="paragraph" w:customStyle="1" w:styleId="xl126">
    <w:name w:val="xl126"/>
    <w:basedOn w:val="Normal"/>
    <w:pPr>
      <w:spacing w:before="100" w:beforeAutospacing="1" w:after="100" w:afterAutospacing="1"/>
    </w:pPr>
    <w:rPr>
      <w:color w:val="FF0000"/>
      <w:lang w:eastAsia="pt-BR"/>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eastAsia="pt-BR"/>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lang w:eastAsia="pt-BR"/>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u w:val="single"/>
      <w:lang w:eastAsia="pt-BR"/>
    </w:rPr>
  </w:style>
  <w:style w:type="table" w:customStyle="1" w:styleId="Tabelacomgrade1">
    <w:name w:val="Tabela com grade1"/>
    <w:basedOn w:val="Tabelanormal"/>
    <w:next w:val="Tabelacomgrade"/>
    <w:uiPriority w:val="5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Next w:val="0"/>
      <w:tabs>
        <w:tab w:val="left" w:pos="284"/>
      </w:tabs>
      <w:suppressAutoHyphens/>
      <w:spacing w:before="240" w:after="0"/>
      <w:ind w:left="1070" w:hanging="360"/>
      <w:contextualSpacing/>
      <w:jc w:val="both"/>
      <w:outlineLvl w:val="9"/>
    </w:pPr>
    <w:rPr>
      <w:b/>
      <w:bCs/>
      <w:kern w:val="0"/>
      <w:sz w:val="32"/>
      <w:szCs w:val="32"/>
      <w:lang w:eastAsia="pt-BR"/>
      <w14:ligatures w14:val="none"/>
    </w:rPr>
  </w:style>
  <w:style w:type="paragraph" w:styleId="Sumrio1">
    <w:name w:val="toc 1"/>
    <w:basedOn w:val="Normal"/>
    <w:next w:val="Normal"/>
    <w:autoRedefine/>
    <w:uiPriority w:val="39"/>
    <w:unhideWhenUsed/>
    <w:pPr>
      <w:spacing w:after="100"/>
    </w:pPr>
    <w:rPr>
      <w:rFonts w:ascii="Arial" w:eastAsia="Calibri" w:hAnsi="Arial"/>
      <w:b/>
      <w:sz w:val="22"/>
      <w:szCs w:val="22"/>
    </w:rPr>
  </w:style>
  <w:style w:type="character" w:customStyle="1" w:styleId="MenoPendente5">
    <w:name w:val="Menção Pendente5"/>
    <w:basedOn w:val="Fontepargpadro"/>
    <w:uiPriority w:val="99"/>
    <w:semiHidden/>
    <w:unhideWhenUsed/>
    <w:rPr>
      <w:color w:val="605E5C"/>
      <w:shd w:val="clear" w:color="auto" w:fill="E1DFDD"/>
    </w:rPr>
  </w:style>
  <w:style w:type="paragraph" w:customStyle="1" w:styleId="Nivel2">
    <w:name w:val="Nivel 2"/>
    <w:basedOn w:val="Normal"/>
    <w:link w:val="Nivel2Char"/>
    <w:qFormat/>
    <w:pPr>
      <w:autoSpaceDE w:val="0"/>
      <w:autoSpaceDN w:val="0"/>
      <w:adjustRightInd w:val="0"/>
      <w:spacing w:before="120" w:after="120" w:line="276" w:lineRule="auto"/>
      <w:jc w:val="both"/>
    </w:pPr>
    <w:rPr>
      <w:rFonts w:ascii="Arial" w:hAnsi="Arial" w:cs="Arial"/>
      <w:lang w:eastAsia="pt-BR"/>
    </w:rPr>
  </w:style>
  <w:style w:type="character" w:customStyle="1" w:styleId="Nivel2Char">
    <w:name w:val="Nivel 2 Char"/>
    <w:basedOn w:val="Fontepargpadro"/>
    <w:link w:val="Nivel2"/>
    <w:locked/>
    <w:rPr>
      <w:rFonts w:ascii="Arial" w:eastAsia="Times New Roman" w:hAnsi="Arial" w:cs="Arial"/>
      <w:kern w:val="0"/>
      <w:sz w:val="20"/>
      <w:szCs w:val="20"/>
      <w:lang w:eastAsia="pt-BR"/>
      <w14:ligatures w14:val="none"/>
    </w:rPr>
  </w:style>
  <w:style w:type="character" w:customStyle="1" w:styleId="MenoNoResolvida1">
    <w:name w:val="Menção Não Resolvida1"/>
    <w:basedOn w:val="Fontepargpadro"/>
    <w:uiPriority w:val="99"/>
    <w:semiHidden/>
    <w:unhideWhenUsed/>
    <w:rPr>
      <w:color w:val="605E5C"/>
      <w:shd w:val="clear" w:color="auto" w:fill="E1DFDD"/>
    </w:rPr>
  </w:style>
  <w:style w:type="character" w:customStyle="1" w:styleId="hgkelc">
    <w:name w:val="hgkelc"/>
    <w:basedOn w:val="Fontepargpadro"/>
  </w:style>
  <w:style w:type="paragraph" w:customStyle="1" w:styleId="paragraph">
    <w:name w:val="paragraph"/>
    <w:basedOn w:val="Normal"/>
    <w:pPr>
      <w:suppressAutoHyphens/>
      <w:spacing w:before="100" w:beforeAutospacing="1" w:after="100" w:afterAutospacing="1"/>
    </w:pPr>
    <w:rPr>
      <w:sz w:val="24"/>
      <w:szCs w:val="24"/>
      <w:lang w:eastAsia="pt-BR"/>
    </w:rPr>
  </w:style>
  <w:style w:type="character" w:customStyle="1" w:styleId="normaltextrun">
    <w:name w:val="normaltextrun"/>
    <w:basedOn w:val="Fontepargpadro"/>
  </w:style>
  <w:style w:type="character" w:customStyle="1" w:styleId="eop">
    <w:name w:val="eop"/>
    <w:basedOn w:val="Fontepargpadro"/>
  </w:style>
  <w:style w:type="paragraph" w:customStyle="1" w:styleId="ecxmsonormal">
    <w:name w:val="ecxmsonormal"/>
    <w:basedOn w:val="Normal"/>
    <w:pPr>
      <w:suppressAutoHyphens/>
      <w:spacing w:after="324"/>
    </w:pPr>
    <w:rPr>
      <w:sz w:val="24"/>
      <w:szCs w:val="24"/>
      <w:lang w:eastAsia="pt-BR"/>
    </w:rPr>
  </w:style>
  <w:style w:type="paragraph" w:styleId="Commarcadores">
    <w:name w:val="List Bullet"/>
    <w:basedOn w:val="Normal"/>
    <w:uiPriority w:val="99"/>
    <w:unhideWhenUsed/>
    <w:pPr>
      <w:numPr>
        <w:numId w:val="22"/>
      </w:numPr>
      <w:suppressAutoHyphens/>
      <w:contextualSpacing/>
    </w:pPr>
    <w:rPr>
      <w:sz w:val="24"/>
      <w:szCs w:val="24"/>
      <w:lang w:eastAsia="zh-CN"/>
    </w:rPr>
  </w:style>
  <w:style w:type="paragraph" w:styleId="Partesuperior-zdoformulrio">
    <w:name w:val="HTML Top of Form"/>
    <w:basedOn w:val="Normal"/>
    <w:next w:val="Normal"/>
    <w:link w:val="Partesuperior-zdoformulrioChar"/>
    <w:hidden/>
    <w:uiPriority w:val="99"/>
    <w:unhideWhenUsed/>
    <w:pPr>
      <w:pBdr>
        <w:bottom w:val="single" w:sz="6" w:space="1" w:color="auto"/>
      </w:pBdr>
      <w:suppressAutoHyphens/>
      <w:jc w:val="center"/>
    </w:pPr>
    <w:rPr>
      <w:rFonts w:ascii="Arial" w:hAnsi="Arial" w:cs="Arial"/>
      <w:vanish/>
      <w:sz w:val="16"/>
      <w:szCs w:val="16"/>
      <w:lang w:eastAsia="pt-BR"/>
    </w:rPr>
  </w:style>
  <w:style w:type="character" w:customStyle="1" w:styleId="Partesuperior-zdoformulrioChar">
    <w:name w:val="Parte superior-z do formulário Char"/>
    <w:basedOn w:val="Fontepargpadro"/>
    <w:link w:val="Partesuperior-zdoformulrio"/>
    <w:uiPriority w:val="99"/>
    <w:rPr>
      <w:rFonts w:ascii="Arial" w:eastAsia="Times New Roman" w:hAnsi="Arial" w:cs="Arial"/>
      <w:vanish/>
      <w:kern w:val="0"/>
      <w:sz w:val="16"/>
      <w:szCs w:val="16"/>
      <w:lang w:eastAsia="pt-BR"/>
      <w14:ligatures w14:val="none"/>
    </w:rPr>
  </w:style>
  <w:style w:type="paragraph" w:customStyle="1" w:styleId="font10">
    <w:name w:val="font10"/>
    <w:basedOn w:val="Normal"/>
    <w:pPr>
      <w:suppressAutoHyphens/>
      <w:spacing w:before="100" w:beforeAutospacing="1" w:after="100" w:afterAutospacing="1"/>
    </w:pPr>
    <w:rPr>
      <w:rFonts w:ascii="Arial" w:hAnsi="Arial" w:cs="Arial"/>
      <w:i/>
      <w:iCs/>
      <w:sz w:val="24"/>
      <w:szCs w:val="24"/>
      <w:lang w:eastAsia="pt-BR"/>
    </w:rPr>
  </w:style>
  <w:style w:type="paragraph" w:customStyle="1" w:styleId="font11">
    <w:name w:val="font11"/>
    <w:basedOn w:val="Normal"/>
    <w:pPr>
      <w:suppressAutoHyphens/>
      <w:spacing w:before="100" w:beforeAutospacing="1" w:after="100" w:afterAutospacing="1"/>
    </w:pPr>
    <w:rPr>
      <w:rFonts w:ascii="Arial" w:hAnsi="Arial" w:cs="Arial"/>
      <w:b/>
      <w:bCs/>
      <w:i/>
      <w:iCs/>
      <w:sz w:val="24"/>
      <w:szCs w:val="24"/>
      <w:lang w:eastAsia="pt-BR"/>
    </w:rPr>
  </w:style>
  <w:style w:type="paragraph" w:customStyle="1" w:styleId="xl132">
    <w:name w:val="xl13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jc w:val="center"/>
      <w:textAlignment w:val="center"/>
    </w:pPr>
    <w:rPr>
      <w:rFonts w:ascii="Arial" w:hAnsi="Arial" w:cs="Arial"/>
      <w:sz w:val="24"/>
      <w:szCs w:val="24"/>
      <w:lang w:eastAsia="pt-BR"/>
    </w:rPr>
  </w:style>
  <w:style w:type="paragraph" w:customStyle="1" w:styleId="xl133">
    <w:name w:val="xl133"/>
    <w:basedOn w:val="Normal"/>
    <w:pPr>
      <w:pBdr>
        <w:top w:val="single" w:sz="4" w:space="0" w:color="auto"/>
        <w:left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4">
    <w:name w:val="xl134"/>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5">
    <w:name w:val="xl135"/>
    <w:basedOn w:val="Normal"/>
    <w:pPr>
      <w:pBdr>
        <w:top w:val="single" w:sz="4" w:space="0" w:color="auto"/>
        <w:bottom w:val="single" w:sz="4" w:space="0" w:color="auto"/>
        <w:right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6">
    <w:name w:val="xl136"/>
    <w:basedOn w:val="Normal"/>
    <w:pPr>
      <w:pBdr>
        <w:top w:val="single" w:sz="4" w:space="0" w:color="auto"/>
        <w:left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7">
    <w:name w:val="xl137"/>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8">
    <w:name w:val="xl138"/>
    <w:basedOn w:val="Normal"/>
    <w:pP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9">
    <w:name w:val="xl139"/>
    <w:basedOn w:val="Normal"/>
    <w:pPr>
      <w:pBdr>
        <w:top w:val="single" w:sz="4" w:space="0" w:color="auto"/>
        <w:left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40">
    <w:name w:val="xl140"/>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41">
    <w:name w:val="xl141"/>
    <w:basedOn w:val="Normal"/>
    <w:pPr>
      <w:pBdr>
        <w:left w:val="single" w:sz="4" w:space="0" w:color="auto"/>
      </w:pBd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42">
    <w:name w:val="xl142"/>
    <w:basedOn w:val="Normal"/>
    <w:pPr>
      <w:shd w:val="clear" w:color="000000" w:fill="FFFFFF"/>
      <w:suppressAutoHyphens/>
      <w:spacing w:before="100" w:beforeAutospacing="1" w:after="100" w:afterAutospacing="1"/>
      <w:jc w:val="center"/>
      <w:textAlignment w:val="center"/>
    </w:pPr>
    <w:rPr>
      <w:rFonts w:ascii="Arial" w:hAnsi="Arial" w:cs="Arial"/>
      <w:b/>
      <w:bCs/>
      <w:sz w:val="24"/>
      <w:szCs w:val="24"/>
      <w:lang w:eastAsia="pt-BR"/>
    </w:rPr>
  </w:style>
  <w:style w:type="paragraph" w:customStyle="1" w:styleId="xl131">
    <w:name w:val="xl131"/>
    <w:basedOn w:val="Normal"/>
    <w:pPr>
      <w:pBdr>
        <w:top w:val="single" w:sz="4" w:space="0" w:color="auto"/>
        <w:left w:val="single" w:sz="4" w:space="0" w:color="auto"/>
        <w:bottom w:val="single" w:sz="4" w:space="0" w:color="auto"/>
        <w:right w:val="single" w:sz="4" w:space="0" w:color="auto"/>
      </w:pBdr>
      <w:shd w:val="clear" w:color="000000" w:fill="D8D8D8"/>
      <w:suppressAutoHyphens/>
      <w:spacing w:before="100" w:beforeAutospacing="1" w:after="100" w:afterAutospacing="1"/>
      <w:jc w:val="center"/>
      <w:textAlignment w:val="center"/>
    </w:pPr>
    <w:rPr>
      <w:rFonts w:ascii="Arial Narrow" w:hAnsi="Arial Narrow"/>
      <w:b/>
      <w:bCs/>
      <w:sz w:val="16"/>
      <w:szCs w:val="16"/>
      <w:lang w:eastAsia="pt-BR"/>
    </w:rPr>
  </w:style>
  <w:style w:type="paragraph" w:customStyle="1" w:styleId="xl143">
    <w:name w:val="xl14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jc w:val="center"/>
      <w:textAlignment w:val="center"/>
    </w:pPr>
    <w:rPr>
      <w:rFonts w:ascii="Arial Narrow" w:hAnsi="Arial Narrow"/>
      <w:b/>
      <w:bCs/>
      <w:color w:val="000000"/>
      <w:sz w:val="16"/>
      <w:szCs w:val="16"/>
      <w:lang w:eastAsia="pt-BR"/>
    </w:rPr>
  </w:style>
  <w:style w:type="paragraph" w:customStyle="1" w:styleId="xl144">
    <w:name w:val="xl144"/>
    <w:basedOn w:val="Normal"/>
    <w:pPr>
      <w:suppressAutoHyphens/>
      <w:spacing w:before="100" w:beforeAutospacing="1" w:after="100" w:afterAutospacing="1"/>
      <w:jc w:val="center"/>
      <w:textAlignment w:val="center"/>
    </w:pPr>
    <w:rPr>
      <w:rFonts w:ascii="Arial Narrow" w:hAnsi="Arial Narrow"/>
      <w:sz w:val="16"/>
      <w:szCs w:val="16"/>
      <w:lang w:eastAsia="pt-BR"/>
    </w:rPr>
  </w:style>
  <w:style w:type="character" w:customStyle="1" w:styleId="WW8Num10z0">
    <w:name w:val="WW8Num10z0"/>
    <w:rPr>
      <w:rFonts w:ascii="Symbol" w:hAnsi="Symbol" w:cs="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cs="Wingdings"/>
    </w:rPr>
  </w:style>
  <w:style w:type="character" w:customStyle="1" w:styleId="WW8Num11z0">
    <w:name w:val="WW8Num11z0"/>
    <w:rPr>
      <w:b/>
    </w:rPr>
  </w:style>
  <w:style w:type="character" w:customStyle="1" w:styleId="WW8Num14z0">
    <w:name w:val="WW8Num14z0"/>
    <w:rPr>
      <w:rFonts w:ascii="Symbol"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7z0">
    <w:name w:val="WW8Num17z0"/>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9z0">
    <w:name w:val="WW8Num19z0"/>
    <w:rPr>
      <w:b/>
    </w:rPr>
  </w:style>
  <w:style w:type="character" w:customStyle="1" w:styleId="WW8Num20z0">
    <w:name w:val="WW8Num20z0"/>
    <w:rPr>
      <w:b/>
    </w:rPr>
  </w:style>
  <w:style w:type="character" w:customStyle="1" w:styleId="WW8Num21z0">
    <w:name w:val="WW8Num21z0"/>
    <w:rPr>
      <w:rFonts w:ascii="Symbol" w:hAnsi="Symbol" w:cs="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2z0">
    <w:name w:val="WW8Num22z0"/>
    <w:rPr>
      <w:rFonts w:ascii="Symbol" w:hAnsi="Symbol" w:cs="Symbol"/>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5z1">
    <w:name w:val="WW8Num25z1"/>
    <w:rPr>
      <w:b/>
    </w:rPr>
  </w:style>
  <w:style w:type="character" w:customStyle="1" w:styleId="WW8Num31z0">
    <w:name w:val="WW8Num31z0"/>
    <w:rPr>
      <w:b/>
    </w:rPr>
  </w:style>
  <w:style w:type="character" w:customStyle="1" w:styleId="WW8Num33z0">
    <w:name w:val="WW8Num33z0"/>
    <w:rPr>
      <w:rFonts w:ascii="Symbol" w:hAnsi="Symbol" w:cs="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4z2">
    <w:name w:val="WW8Num34z2"/>
    <w:rPr>
      <w:b/>
    </w:rPr>
  </w:style>
  <w:style w:type="character" w:customStyle="1" w:styleId="Corpodetexto2Char1">
    <w:name w:val="Corpo de texto 2 Char1"/>
    <w:basedOn w:val="Fontepargpadro"/>
    <w:uiPriority w:val="99"/>
    <w:semiHidden/>
    <w:rPr>
      <w:rFonts w:ascii="Times New Roman" w:eastAsia="Times New Roman" w:hAnsi="Times New Roman" w:cs="Times New Roman"/>
      <w:sz w:val="24"/>
      <w:szCs w:val="24"/>
      <w:lang w:eastAsia="zh-CN"/>
    </w:rPr>
  </w:style>
  <w:style w:type="paragraph" w:customStyle="1" w:styleId="Ttulo20">
    <w:name w:val="Título2"/>
    <w:basedOn w:val="Normal"/>
    <w:next w:val="Corpodetexto"/>
    <w:pPr>
      <w:jc w:val="center"/>
    </w:pPr>
    <w:rPr>
      <w:rFonts w:ascii="Courier New" w:hAnsi="Courier New" w:cs="Courier New"/>
      <w:b/>
      <w:sz w:val="28"/>
      <w:lang w:eastAsia="zh-CN"/>
    </w:rPr>
  </w:style>
  <w:style w:type="paragraph" w:customStyle="1" w:styleId="ecxecxmsonormal">
    <w:name w:val="ecxecxmsonormal"/>
    <w:basedOn w:val="Normal"/>
    <w:pPr>
      <w:suppressAutoHyphens/>
      <w:spacing w:after="324"/>
    </w:pPr>
    <w:rPr>
      <w:sz w:val="24"/>
      <w:szCs w:val="24"/>
      <w:lang w:eastAsia="zh-CN"/>
    </w:rPr>
  </w:style>
  <w:style w:type="paragraph" w:customStyle="1" w:styleId="Padro2">
    <w:name w:val="Padrão2"/>
    <w:basedOn w:val="Normal"/>
    <w:pPr>
      <w:widowControl w:val="0"/>
      <w:suppressAutoHyphens/>
      <w:spacing w:before="28" w:after="28" w:line="216" w:lineRule="auto"/>
      <w:jc w:val="both"/>
    </w:pPr>
    <w:rPr>
      <w:rFonts w:eastAsia="Arial Unicode MS"/>
      <w:sz w:val="24"/>
      <w:szCs w:val="24"/>
      <w:lang w:eastAsia="zh-CN"/>
    </w:rPr>
  </w:style>
  <w:style w:type="paragraph" w:customStyle="1" w:styleId="SemEspaamento1">
    <w:name w:val="Sem Espaçamento1"/>
    <w:pPr>
      <w:suppressAutoHyphens/>
      <w:spacing w:after="0" w:line="240" w:lineRule="auto"/>
    </w:pPr>
    <w:rPr>
      <w:rFonts w:ascii="Times New Roman" w:eastAsia="Times New Roman" w:hAnsi="Times New Roman" w:cs="Times New Roman"/>
      <w:kern w:val="0"/>
      <w:sz w:val="24"/>
      <w:szCs w:val="20"/>
      <w:lang w:eastAsia="zh-CN"/>
      <w14:ligatures w14:val="none"/>
    </w:rPr>
  </w:style>
  <w:style w:type="paragraph" w:customStyle="1" w:styleId="Contedodoquadro">
    <w:name w:val="Conteúdo do quadro"/>
    <w:basedOn w:val="Corpodetexto"/>
    <w:pPr>
      <w:suppressAutoHyphens/>
      <w:spacing w:after="120"/>
      <w:jc w:val="left"/>
    </w:pPr>
    <w:rPr>
      <w:rFonts w:ascii="Times New Roman" w:hAnsi="Times New Roman"/>
      <w:sz w:val="24"/>
      <w:szCs w:val="24"/>
      <w:lang w:eastAsia="zh-CN"/>
    </w:rPr>
  </w:style>
  <w:style w:type="paragraph" w:customStyle="1" w:styleId="AD2M2015Texto">
    <w:name w:val="AD2M 2015 Texto"/>
    <w:basedOn w:val="Normal"/>
    <w:pPr>
      <w:spacing w:line="312" w:lineRule="auto"/>
    </w:pPr>
    <w:rPr>
      <w:rFonts w:ascii="Arial" w:hAnsi="Arial" w:cs="Arial"/>
      <w:lang w:val="en-US" w:eastAsia="zh-CN"/>
    </w:rPr>
  </w:style>
  <w:style w:type="paragraph" w:customStyle="1" w:styleId="Normal2">
    <w:name w:val="Normal2"/>
    <w:pPr>
      <w:widowControl w:val="0"/>
      <w:spacing w:after="0" w:line="240" w:lineRule="auto"/>
    </w:pPr>
    <w:rPr>
      <w:rFonts w:ascii="Calibri" w:eastAsia="Calibri" w:hAnsi="Calibri" w:cs="Calibri"/>
      <w:kern w:val="0"/>
      <w:lang w:eastAsia="pt-BR"/>
      <w14:ligatures w14:val="none"/>
    </w:rPr>
  </w:style>
  <w:style w:type="character" w:customStyle="1" w:styleId="TtuloChar1">
    <w:name w:val="Título Char1"/>
    <w:basedOn w:val="Fontepargpadro"/>
    <w:uiPriority w:val="10"/>
    <w:rPr>
      <w:rFonts w:ascii="Cambria" w:eastAsia="Times New Roman" w:hAnsi="Cambria" w:cs="Times New Roman"/>
      <w:b/>
      <w:bCs/>
      <w:kern w:val="28"/>
      <w:sz w:val="32"/>
      <w:szCs w:val="32"/>
      <w:lang w:eastAsia="zh-CN"/>
    </w:rPr>
  </w:style>
  <w:style w:type="paragraph" w:customStyle="1" w:styleId="TableContents">
    <w:name w:val="Table Contents"/>
    <w:basedOn w:val="Standard"/>
    <w:pPr>
      <w:widowControl w:val="0"/>
      <w:suppressLineNumbers/>
      <w:textAlignment w:val="baseline"/>
    </w:pPr>
    <w:rPr>
      <w:rFonts w:eastAsia="SimSun" w:cs="Mangal"/>
      <w:szCs w:val="24"/>
      <w:lang w:bidi="hi-IN"/>
    </w:rPr>
  </w:style>
  <w:style w:type="paragraph" w:customStyle="1" w:styleId="AD2M2015Ttulo">
    <w:name w:val="AD2M 2015 Título"/>
    <w:basedOn w:val="Normal"/>
    <w:pPr>
      <w:spacing w:line="312" w:lineRule="auto"/>
    </w:pPr>
    <w:rPr>
      <w:rFonts w:ascii="Gotham Bold" w:hAnsi="Gotham Bold" w:cs="Gotham Bold"/>
      <w:color w:val="0066CC"/>
      <w:sz w:val="32"/>
      <w:szCs w:val="32"/>
    </w:rPr>
  </w:style>
  <w:style w:type="numbering" w:customStyle="1" w:styleId="Semlista1">
    <w:name w:val="Sem lista1"/>
    <w:next w:val="Semlista"/>
    <w:uiPriority w:val="99"/>
    <w:semiHidden/>
    <w:unhideWhenUsed/>
  </w:style>
  <w:style w:type="table" w:customStyle="1" w:styleId="SombreamentoClaro1">
    <w:name w:val="Sombreamento Claro1"/>
    <w:basedOn w:val="Tabelanormal"/>
    <w:uiPriority w:val="60"/>
    <w:pPr>
      <w:spacing w:after="0" w:line="240" w:lineRule="auto"/>
    </w:pPr>
    <w:rPr>
      <w:rFonts w:ascii="Calibri" w:eastAsia="Calibri" w:hAnsi="Calibri" w:cs="Times New Roman"/>
      <w:color w:val="000000"/>
      <w:kern w:val="0"/>
      <w:sz w:val="20"/>
      <w:szCs w:val="20"/>
      <w:lang w:eastAsia="pt-BR"/>
      <w14:ligatures w14:val="none"/>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UnresolvedMention">
    <w:name w:val="Unresolved Mention"/>
    <w:basedOn w:val="Fontepargpadro"/>
    <w:uiPriority w:val="99"/>
    <w:semiHidden/>
    <w:unhideWhenUsed/>
    <w:rPr>
      <w:color w:val="605E5C"/>
      <w:shd w:val="clear" w:color="auto" w:fill="E1DFDD"/>
    </w:rPr>
  </w:style>
  <w:style w:type="numbering" w:customStyle="1" w:styleId="Semlista2">
    <w:name w:val="Sem lista2"/>
    <w:next w:val="Semlista"/>
    <w:uiPriority w:val="99"/>
    <w:semiHidden/>
    <w:unhideWhenUsed/>
  </w:style>
  <w:style w:type="table" w:customStyle="1" w:styleId="Tabelacomgrade2">
    <w:name w:val="Tabela com grade2"/>
    <w:basedOn w:val="Tabelanormal"/>
    <w:next w:val="Tabelacomgrade"/>
    <w:uiPriority w:val="59"/>
    <w:pPr>
      <w:spacing w:after="0" w:line="240" w:lineRule="auto"/>
    </w:pPr>
    <w:rPr>
      <w:rFonts w:ascii="Calibri" w:eastAsia="Calibri" w:hAnsi="Calibri" w:cs="Times New Roman"/>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
    <w:name w:val="Tabela com grade3"/>
    <w:basedOn w:val="Tabelanormal"/>
    <w:next w:val="Tabelacomgrade"/>
    <w:uiPriority w:val="59"/>
    <w:pPr>
      <w:spacing w:after="0" w:line="240" w:lineRule="auto"/>
    </w:pPr>
    <w:rPr>
      <w:rFonts w:ascii="Calibri" w:eastAsia="Calibri" w:hAnsi="Calibri"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ompras.gov.br" TargetMode="External"/><Relationship Id="rId18" Type="http://schemas.openxmlformats.org/officeDocument/2006/relationships/hyperlink" Target="http://WWW.COMPRAS.GOV.BR" TargetMode="External"/><Relationship Id="rId26" Type="http://schemas.openxmlformats.org/officeDocument/2006/relationships/hyperlink" Target="http://WWW.COMPRAS.GOV.BR" TargetMode="External"/><Relationship Id="rId39" Type="http://schemas.openxmlformats.org/officeDocument/2006/relationships/hyperlink" Target="http://WWW.COMPRAS.GOV.BR" TargetMode="External"/><Relationship Id="rId21" Type="http://schemas.openxmlformats.org/officeDocument/2006/relationships/hyperlink" Target="http://WWW.COMPRAS.GOV.BR" TargetMode="External"/><Relationship Id="rId34" Type="http://schemas.openxmlformats.org/officeDocument/2006/relationships/hyperlink" Target="http://www.compras.gov.br" TargetMode="External"/><Relationship Id="rId42" Type="http://schemas.openxmlformats.org/officeDocument/2006/relationships/hyperlink" Target="http://WWW.COMPRAS.GOV.BR"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84" Type="http://schemas.openxmlformats.org/officeDocument/2006/relationships/header" Target="header1.xml"/><Relationship Id="rId7" Type="http://schemas.openxmlformats.org/officeDocument/2006/relationships/hyperlink" Target="http://WWW.COMPRAS.GOV.BR" TargetMode="External"/><Relationship Id="rId71" Type="http://schemas.openxmlformats.org/officeDocument/2006/relationships/hyperlink" Target="http://www.planalto.gov.br/ccivil_03/_ato2019-2022/2021/lei/L14133.htm%25art159" TargetMode="External"/><Relationship Id="rId2" Type="http://schemas.openxmlformats.org/officeDocument/2006/relationships/styles" Target="styles.xml"/><Relationship Id="rId16" Type="http://schemas.openxmlformats.org/officeDocument/2006/relationships/hyperlink" Target="http://www.compras.gov.br" TargetMode="External"/><Relationship Id="rId29" Type="http://schemas.openxmlformats.org/officeDocument/2006/relationships/hyperlink" Target="http://WWW.COMPRAS.GOV.BR" TargetMode="External"/><Relationship Id="rId11" Type="http://schemas.openxmlformats.org/officeDocument/2006/relationships/hyperlink" Target="http://www.compras.gov.br" TargetMode="External"/><Relationship Id="rId24" Type="http://schemas.openxmlformats.org/officeDocument/2006/relationships/hyperlink" Target="http://WWW.COMPRAS.GOV.BR" TargetMode="External"/><Relationship Id="rId32" Type="http://schemas.openxmlformats.org/officeDocument/2006/relationships/hyperlink" Target="http://WWW.COMPRAS.GOV.BR" TargetMode="External"/><Relationship Id="rId37" Type="http://schemas.openxmlformats.org/officeDocument/2006/relationships/hyperlink" Target="http://WWW.COMPRAS.GOV.BR" TargetMode="External"/><Relationship Id="rId40" Type="http://schemas.openxmlformats.org/officeDocument/2006/relationships/hyperlink" Target="http://www.compras.gov.br" TargetMode="External"/><Relationship Id="rId45" Type="http://schemas.openxmlformats.org/officeDocument/2006/relationships/hyperlink" Target="https://www.planalto.gov.br/ccivil_03/leis/lcp/lcp12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municipios-licitacoes.tce.ce.gov.br/" TargetMode="External"/><Relationship Id="rId19" Type="http://schemas.openxmlformats.org/officeDocument/2006/relationships/hyperlink" Target="http://www.compras.gov.br" TargetMode="External"/><Relationship Id="rId4" Type="http://schemas.openxmlformats.org/officeDocument/2006/relationships/webSettings" Target="webSettings.xml"/><Relationship Id="rId9" Type="http://schemas.openxmlformats.org/officeDocument/2006/relationships/hyperlink" Target="http://www.compras.gov.br" TargetMode="External"/><Relationship Id="rId14" Type="http://schemas.openxmlformats.org/officeDocument/2006/relationships/hyperlink" Target="http://WWW.COMPRAS.GOV.BR" TargetMode="External"/><Relationship Id="rId22" Type="http://schemas.openxmlformats.org/officeDocument/2006/relationships/hyperlink" Target="http://WWW.COMPRAS.GOV.BR" TargetMode="External"/><Relationship Id="rId27" Type="http://schemas.openxmlformats.org/officeDocument/2006/relationships/hyperlink" Target="http://WWW.COMPRAS.GOV.BR" TargetMode="External"/><Relationship Id="rId30" Type="http://schemas.openxmlformats.org/officeDocument/2006/relationships/hyperlink" Target="http://WWW.COMPRAS.GOV.BR" TargetMode="External"/><Relationship Id="rId35" Type="http://schemas.openxmlformats.org/officeDocument/2006/relationships/hyperlink" Target="http://WWW.COMPRAS.GOV.BR"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COMPRAS.GOV.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WWW.COMPRAS.GOV.BR" TargetMode="External"/><Relationship Id="rId17" Type="http://schemas.openxmlformats.org/officeDocument/2006/relationships/hyperlink" Target="http://www.compras.gov.br" TargetMode="External"/><Relationship Id="rId25" Type="http://schemas.openxmlformats.org/officeDocument/2006/relationships/hyperlink" Target="http://WWW.COMPRAS.GOV.BR" TargetMode="External"/><Relationship Id="rId33" Type="http://schemas.openxmlformats.org/officeDocument/2006/relationships/hyperlink" Target="http://municipios.tce.ce.gov.br/transparencia/" TargetMode="External"/><Relationship Id="rId38" Type="http://schemas.openxmlformats.org/officeDocument/2006/relationships/hyperlink" Target="http://WWW.COMPRAS.GOV.BR"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planalto.gov.br/ccivil_03/_ato2011-2014/2013/lei/l12846.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COMPRAS.GOV.BR" TargetMode="External"/><Relationship Id="rId41" Type="http://schemas.openxmlformats.org/officeDocument/2006/relationships/hyperlink" Target="http://WWW.COMPRAS.GOV.BR"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s://www.planalto.gov.br/ccivil_03/_ato2011-2014/2013/lei/l12846.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COMPRAS.GOV.BR"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mpras.gov.br" TargetMode="External"/><Relationship Id="rId23" Type="http://schemas.openxmlformats.org/officeDocument/2006/relationships/hyperlink" Target="http://WWW.COMPRAS.GOV.BR" TargetMode="External"/><Relationship Id="rId28" Type="http://schemas.openxmlformats.org/officeDocument/2006/relationships/hyperlink" Target="http://WWW.COMPRAS.GOV.BR" TargetMode="External"/><Relationship Id="rId36" Type="http://schemas.openxmlformats.org/officeDocument/2006/relationships/hyperlink" Target="http://WWW.COMPRAS.GOV.BR"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COMPRAS.GOV.BR" TargetMode="External"/><Relationship Id="rId31" Type="http://schemas.openxmlformats.org/officeDocument/2006/relationships/hyperlink" Target="http://WWW.COMPRAS.GOV.BR"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image" Target="media/image1.png"/><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87</Pages>
  <Words>35963</Words>
  <Characters>194201</Characters>
  <Application>Microsoft Office Word</Application>
  <DocSecurity>0</DocSecurity>
  <Lines>1618</Lines>
  <Paragraphs>459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229705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MEUS DOCUMENTOS</dc:creator>
  <cp:keywords/>
  <dc:description/>
  <cp:lastModifiedBy>ADMIN</cp:lastModifiedBy>
  <cp:revision>3</cp:revision>
  <dcterms:created xsi:type="dcterms:W3CDTF">2026-06-08T18:11:00Z</dcterms:created>
  <dcterms:modified xsi:type="dcterms:W3CDTF">2026-06-08T18:19:00Z</dcterms:modified>
</cp:coreProperties>
</file>